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贵州省食品接触用塑料容器、工具</w:t>
      </w:r>
      <w:r>
        <w:rPr>
          <w:rFonts w:hint="eastAsia" w:ascii="方正小标宋_GBK" w:hAnsi="方正小标宋_GBK" w:eastAsia="方正小标宋_GBK" w:cs="方正小标宋_GBK"/>
          <w:color w:val="000000"/>
          <w:sz w:val="36"/>
          <w:szCs w:val="36"/>
          <w:lang w:val="en-US" w:eastAsia="zh-CN"/>
        </w:rPr>
        <w:t>等</w:t>
      </w:r>
      <w:r>
        <w:rPr>
          <w:rFonts w:hint="eastAsia" w:ascii="方正小标宋_GBK" w:hAnsi="方正小标宋_GBK" w:eastAsia="方正小标宋_GBK" w:cs="方正小标宋_GBK"/>
          <w:color w:val="000000"/>
          <w:sz w:val="36"/>
          <w:szCs w:val="36"/>
        </w:rPr>
        <w:t>产品</w:t>
      </w:r>
    </w:p>
    <w:p>
      <w:pPr>
        <w:adjustRightInd w:val="0"/>
        <w:snapToGrid w:val="0"/>
        <w:spacing w:line="594"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质量监督抽查实施细则</w:t>
      </w:r>
    </w:p>
    <w:p>
      <w:pPr>
        <w:adjustRightInd w:val="0"/>
        <w:snapToGrid w:val="0"/>
        <w:spacing w:line="440" w:lineRule="exact"/>
        <w:jc w:val="center"/>
        <w:rPr>
          <w:rFonts w:hint="eastAsia" w:ascii="楷体_GB2312" w:hAnsi="楷体_GB2312" w:eastAsia="楷体_GB2312" w:cs="楷体_GB2312"/>
          <w:color w:val="000000"/>
          <w:sz w:val="30"/>
          <w:szCs w:val="30"/>
        </w:rPr>
      </w:pPr>
      <w:r>
        <w:rPr>
          <w:rFonts w:hint="eastAsia" w:ascii="楷体_GB2312" w:hAnsi="楷体_GB2312" w:eastAsia="楷体_GB2312" w:cs="楷体_GB2312"/>
          <w:color w:val="000000"/>
          <w:sz w:val="30"/>
          <w:szCs w:val="30"/>
        </w:rPr>
        <w:t>（202</w:t>
      </w:r>
      <w:r>
        <w:rPr>
          <w:rFonts w:hint="eastAsia" w:ascii="楷体_GB2312" w:hAnsi="楷体_GB2312" w:eastAsia="楷体_GB2312" w:cs="楷体_GB2312"/>
          <w:color w:val="000000"/>
          <w:sz w:val="30"/>
          <w:szCs w:val="30"/>
          <w:lang w:val="en-US" w:eastAsia="zh-CN"/>
        </w:rPr>
        <w:t>6</w:t>
      </w:r>
      <w:r>
        <w:rPr>
          <w:rFonts w:hint="eastAsia" w:ascii="楷体_GB2312" w:hAnsi="楷体_GB2312" w:eastAsia="楷体_GB2312" w:cs="楷体_GB2312"/>
          <w:color w:val="000000"/>
          <w:sz w:val="30"/>
          <w:szCs w:val="30"/>
        </w:rPr>
        <w:t>年版）</w:t>
      </w:r>
    </w:p>
    <w:p>
      <w:pPr>
        <w:adjustRightInd w:val="0"/>
        <w:snapToGrid w:val="0"/>
        <w:spacing w:line="440" w:lineRule="exact"/>
        <w:outlineLvl w:val="1"/>
        <w:rPr>
          <w:rFonts w:eastAsia="黑体"/>
          <w:szCs w:val="21"/>
        </w:rPr>
      </w:pPr>
      <w:r>
        <w:rPr>
          <w:rFonts w:eastAsia="黑体"/>
          <w:szCs w:val="21"/>
        </w:rPr>
        <w:t>1 抽样方法</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以随机抽样的方式在被抽样生产者、销售者的待销产品中抽取。</w:t>
      </w:r>
    </w:p>
    <w:p>
      <w:pPr>
        <w:adjustRightInd w:val="0"/>
        <w:snapToGrid w:val="0"/>
        <w:spacing w:line="440" w:lineRule="exact"/>
        <w:ind w:firstLine="420" w:firstLineChars="200"/>
        <w:outlineLvl w:val="1"/>
        <w:rPr>
          <w:rFonts w:hint="default" w:ascii="Times New Roman" w:hAnsi="Times New Roman" w:cs="Times New Roman"/>
          <w:szCs w:val="21"/>
        </w:rPr>
      </w:pPr>
      <w:r>
        <w:rPr>
          <w:rFonts w:hint="default" w:ascii="Times New Roman" w:hAnsi="Times New Roman" w:cs="Times New Roman"/>
          <w:szCs w:val="21"/>
        </w:rPr>
        <w:t>随机数一般可使用随机数表等方法产生。</w:t>
      </w:r>
    </w:p>
    <w:p>
      <w:pPr>
        <w:adjustRightInd w:val="0"/>
        <w:snapToGrid w:val="0"/>
        <w:spacing w:line="440" w:lineRule="exact"/>
        <w:ind w:firstLine="3570" w:firstLineChars="1700"/>
        <w:outlineLvl w:val="1"/>
        <w:rPr>
          <w:rFonts w:hint="default" w:ascii="Times New Roman" w:hAnsi="Times New Roman" w:cs="Times New Roman"/>
          <w:szCs w:val="21"/>
        </w:rPr>
      </w:pPr>
      <w:r>
        <w:rPr>
          <w:rFonts w:hint="default" w:ascii="Times New Roman" w:hAnsi="Times New Roman" w:cs="Times New Roman"/>
          <w:szCs w:val="21"/>
        </w:rPr>
        <w:t>表1   抽样数量</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173"/>
        <w:gridCol w:w="2883"/>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837" w:type="dxa"/>
            <w:noWrap w:val="0"/>
            <w:vAlign w:val="bottom"/>
          </w:tcPr>
          <w:p>
            <w:pPr>
              <w:keepNext w:val="0"/>
              <w:keepLines w:val="0"/>
              <w:suppressLineNumbers w:val="0"/>
              <w:snapToGrid w:val="0"/>
              <w:spacing w:before="0" w:beforeAutospacing="0" w:after="0" w:afterAutospacing="0" w:line="360" w:lineRule="auto"/>
              <w:ind w:left="0" w:right="0"/>
              <w:jc w:val="center"/>
              <w:rPr>
                <w:rFonts w:hint="eastAsia" w:ascii="黑体" w:hAnsi="黑体" w:eastAsia="黑体" w:cs="黑体"/>
                <w:szCs w:val="21"/>
              </w:rPr>
            </w:pPr>
            <w:r>
              <w:rPr>
                <w:rFonts w:hint="eastAsia" w:ascii="黑体" w:hAnsi="黑体" w:eastAsia="黑体" w:cs="黑体"/>
                <w:szCs w:val="21"/>
              </w:rPr>
              <w:t>序号</w:t>
            </w:r>
          </w:p>
        </w:tc>
        <w:tc>
          <w:tcPr>
            <w:tcW w:w="2173" w:type="dxa"/>
            <w:noWrap w:val="0"/>
            <w:vAlign w:val="bottom"/>
          </w:tcPr>
          <w:p>
            <w:pPr>
              <w:keepNext w:val="0"/>
              <w:keepLines w:val="0"/>
              <w:suppressLineNumbers w:val="0"/>
              <w:snapToGrid w:val="0"/>
              <w:spacing w:before="0" w:beforeAutospacing="0" w:after="0" w:afterAutospacing="0" w:line="360" w:lineRule="auto"/>
              <w:ind w:left="0" w:right="0" w:firstLine="630" w:firstLineChars="300"/>
              <w:jc w:val="both"/>
              <w:rPr>
                <w:rFonts w:hint="eastAsia" w:ascii="黑体" w:hAnsi="黑体" w:eastAsia="黑体" w:cs="黑体"/>
                <w:szCs w:val="21"/>
              </w:rPr>
            </w:pPr>
            <w:r>
              <w:rPr>
                <w:rFonts w:hint="eastAsia" w:ascii="黑体" w:hAnsi="黑体" w:eastAsia="黑体" w:cs="黑体"/>
                <w:szCs w:val="21"/>
              </w:rPr>
              <w:t>产品名称</w:t>
            </w:r>
          </w:p>
        </w:tc>
        <w:tc>
          <w:tcPr>
            <w:tcW w:w="2883" w:type="dxa"/>
            <w:noWrap w:val="0"/>
            <w:vAlign w:val="bottom"/>
          </w:tcPr>
          <w:p>
            <w:pPr>
              <w:keepNext w:val="0"/>
              <w:keepLines w:val="0"/>
              <w:suppressLineNumbers w:val="0"/>
              <w:snapToGrid w:val="0"/>
              <w:spacing w:before="0" w:beforeAutospacing="0" w:after="0" w:afterAutospacing="0" w:line="360" w:lineRule="auto"/>
              <w:ind w:left="0" w:right="0"/>
              <w:jc w:val="center"/>
              <w:rPr>
                <w:rFonts w:hint="eastAsia" w:ascii="黑体" w:hAnsi="黑体" w:eastAsia="黑体" w:cs="黑体"/>
                <w:szCs w:val="21"/>
              </w:rPr>
            </w:pPr>
            <w:r>
              <w:rPr>
                <w:rFonts w:hint="eastAsia" w:ascii="黑体" w:hAnsi="黑体" w:eastAsia="黑体" w:cs="黑体"/>
                <w:szCs w:val="21"/>
              </w:rPr>
              <w:t>检验数量</w:t>
            </w:r>
          </w:p>
        </w:tc>
        <w:tc>
          <w:tcPr>
            <w:tcW w:w="2604" w:type="dxa"/>
            <w:noWrap w:val="0"/>
            <w:vAlign w:val="bottom"/>
          </w:tcPr>
          <w:p>
            <w:pPr>
              <w:keepNext w:val="0"/>
              <w:keepLines w:val="0"/>
              <w:suppressLineNumbers w:val="0"/>
              <w:snapToGrid w:val="0"/>
              <w:spacing w:before="0" w:beforeAutospacing="0" w:after="0" w:afterAutospacing="0" w:line="360" w:lineRule="auto"/>
              <w:ind w:left="0" w:right="0"/>
              <w:jc w:val="center"/>
              <w:rPr>
                <w:rFonts w:hint="eastAsia" w:ascii="黑体" w:hAnsi="黑体" w:eastAsia="黑体" w:cs="黑体"/>
                <w:szCs w:val="21"/>
              </w:rPr>
            </w:pPr>
            <w:r>
              <w:rPr>
                <w:rFonts w:hint="eastAsia" w:ascii="黑体" w:hAnsi="黑体" w:eastAsia="黑体" w:cs="黑体"/>
                <w:szCs w:val="21"/>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tblHeader/>
          <w:jc w:val="center"/>
        </w:trPr>
        <w:tc>
          <w:tcPr>
            <w:tcW w:w="837"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1</w:t>
            </w:r>
          </w:p>
        </w:tc>
        <w:tc>
          <w:tcPr>
            <w:tcW w:w="2173" w:type="dxa"/>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聚碳酸酯（PC）饮用水罐</w:t>
            </w:r>
          </w:p>
        </w:tc>
        <w:tc>
          <w:tcPr>
            <w:tcW w:w="2883"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5个（配同样数量的盖）</w:t>
            </w:r>
          </w:p>
        </w:tc>
        <w:tc>
          <w:tcPr>
            <w:tcW w:w="2604"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5个（配同样数量的盖）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exact"/>
          <w:tblHeader/>
          <w:jc w:val="center"/>
        </w:trPr>
        <w:tc>
          <w:tcPr>
            <w:tcW w:w="837"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2</w:t>
            </w:r>
          </w:p>
        </w:tc>
        <w:tc>
          <w:tcPr>
            <w:tcW w:w="2173" w:type="dxa"/>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瓶坯</w:t>
            </w:r>
          </w:p>
        </w:tc>
        <w:tc>
          <w:tcPr>
            <w:tcW w:w="2883"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20个</w:t>
            </w:r>
          </w:p>
        </w:tc>
        <w:tc>
          <w:tcPr>
            <w:tcW w:w="2604"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exact"/>
          <w:tblHeader/>
          <w:jc w:val="center"/>
        </w:trPr>
        <w:tc>
          <w:tcPr>
            <w:tcW w:w="837"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3</w:t>
            </w:r>
          </w:p>
        </w:tc>
        <w:tc>
          <w:tcPr>
            <w:tcW w:w="2173" w:type="dxa"/>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PET食品瓶</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Times New Roman" w:hAnsi="Times New Roman" w:cs="Times New Roman"/>
                <w:szCs w:val="21"/>
              </w:rPr>
            </w:pPr>
            <w:r>
              <w:rPr>
                <w:rFonts w:hint="default" w:ascii="Times New Roman" w:hAnsi="Times New Roman" w:cs="Times New Roman"/>
                <w:szCs w:val="21"/>
              </w:rPr>
              <w:t>V＜200 ml，20个；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Times New Roman" w:hAnsi="Times New Roman" w:cs="Times New Roman"/>
                <w:szCs w:val="21"/>
              </w:rPr>
            </w:pPr>
            <w:r>
              <w:rPr>
                <w:rFonts w:hint="default" w:ascii="Times New Roman" w:hAnsi="Times New Roman" w:cs="Times New Roman"/>
                <w:szCs w:val="21"/>
              </w:rPr>
              <w:t>V≥200 ml，10个</w:t>
            </w:r>
          </w:p>
        </w:tc>
        <w:tc>
          <w:tcPr>
            <w:tcW w:w="260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Times New Roman" w:hAnsi="Times New Roman" w:cs="Times New Roman"/>
                <w:szCs w:val="21"/>
              </w:rPr>
            </w:pPr>
            <w:r>
              <w:rPr>
                <w:rFonts w:hint="default" w:ascii="Times New Roman" w:hAnsi="Times New Roman" w:cs="Times New Roman"/>
                <w:szCs w:val="21"/>
              </w:rPr>
              <w:t>V＜200 ml，20个；</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Times New Roman" w:hAnsi="Times New Roman" w:cs="Times New Roman"/>
                <w:szCs w:val="21"/>
              </w:rPr>
            </w:pPr>
            <w:r>
              <w:rPr>
                <w:rFonts w:hint="default" w:ascii="Times New Roman" w:hAnsi="Times New Roman" w:cs="Times New Roman"/>
                <w:szCs w:val="21"/>
              </w:rPr>
              <w:t>V≥200 ml，10个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exact"/>
          <w:tblHeader/>
          <w:jc w:val="center"/>
        </w:trPr>
        <w:tc>
          <w:tcPr>
            <w:tcW w:w="837"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4</w:t>
            </w:r>
          </w:p>
        </w:tc>
        <w:tc>
          <w:tcPr>
            <w:tcW w:w="2173" w:type="dxa"/>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聚酯（PET）无汽饮料瓶</w:t>
            </w:r>
          </w:p>
        </w:tc>
        <w:tc>
          <w:tcPr>
            <w:tcW w:w="2883"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40个</w:t>
            </w:r>
          </w:p>
        </w:tc>
        <w:tc>
          <w:tcPr>
            <w:tcW w:w="2604"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exact"/>
          <w:tblHeader/>
          <w:jc w:val="center"/>
        </w:trPr>
        <w:tc>
          <w:tcPr>
            <w:tcW w:w="837"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4</w:t>
            </w:r>
          </w:p>
        </w:tc>
        <w:tc>
          <w:tcPr>
            <w:tcW w:w="2173" w:type="dxa"/>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PC饮用水罐密封盖</w:t>
            </w:r>
          </w:p>
        </w:tc>
        <w:tc>
          <w:tcPr>
            <w:tcW w:w="2883"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20个</w:t>
            </w:r>
          </w:p>
        </w:tc>
        <w:tc>
          <w:tcPr>
            <w:tcW w:w="2604"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20个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exact"/>
          <w:tblHeader/>
          <w:jc w:val="center"/>
        </w:trPr>
        <w:tc>
          <w:tcPr>
            <w:tcW w:w="837"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5</w:t>
            </w:r>
          </w:p>
        </w:tc>
        <w:tc>
          <w:tcPr>
            <w:tcW w:w="2173" w:type="dxa"/>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塑料瓶盖</w:t>
            </w:r>
          </w:p>
        </w:tc>
        <w:tc>
          <w:tcPr>
            <w:tcW w:w="2883"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50个</w:t>
            </w:r>
          </w:p>
        </w:tc>
        <w:tc>
          <w:tcPr>
            <w:tcW w:w="2604"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exact"/>
          <w:tblHeader/>
          <w:jc w:val="center"/>
        </w:trPr>
        <w:tc>
          <w:tcPr>
            <w:tcW w:w="837" w:type="dxa"/>
            <w:noWrap w:val="0"/>
            <w:vAlign w:val="center"/>
          </w:tcPr>
          <w:p>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szCs w:val="21"/>
                <w:lang w:eastAsia="zh-CN"/>
              </w:rPr>
            </w:pPr>
            <w:r>
              <w:rPr>
                <w:rFonts w:hint="eastAsia" w:ascii="Times New Roman" w:hAnsi="Times New Roman" w:cs="Times New Roman"/>
                <w:szCs w:val="21"/>
                <w:lang w:val="en-US" w:eastAsia="zh-CN"/>
              </w:rPr>
              <w:t>6</w:t>
            </w:r>
          </w:p>
        </w:tc>
        <w:tc>
          <w:tcPr>
            <w:tcW w:w="2173" w:type="dxa"/>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其他食品接触用塑料容器、工具制品</w:t>
            </w:r>
          </w:p>
        </w:tc>
        <w:tc>
          <w:tcPr>
            <w:tcW w:w="2883"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面积不少于0.5m</w:t>
            </w:r>
            <w:r>
              <w:rPr>
                <w:rFonts w:hint="default" w:ascii="Times New Roman" w:hAnsi="Times New Roman" w:cs="Times New Roman"/>
                <w:szCs w:val="21"/>
                <w:vertAlign w:val="superscript"/>
              </w:rPr>
              <w:t>2</w:t>
            </w:r>
          </w:p>
        </w:tc>
        <w:tc>
          <w:tcPr>
            <w:tcW w:w="2604" w:type="dxa"/>
            <w:noWrap w:val="0"/>
            <w:vAlign w:val="center"/>
          </w:tcPr>
          <w:p>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szCs w:val="21"/>
              </w:rPr>
            </w:pPr>
            <w:r>
              <w:rPr>
                <w:rFonts w:hint="default" w:ascii="Times New Roman" w:hAnsi="Times New Roman" w:cs="Times New Roman"/>
                <w:szCs w:val="21"/>
              </w:rPr>
              <w:t>面积不少于0.5m</w:t>
            </w:r>
            <w:r>
              <w:rPr>
                <w:rFonts w:hint="default" w:ascii="Times New Roman" w:hAnsi="Times New Roman" w:cs="Times New Roman"/>
                <w:szCs w:val="21"/>
                <w:vertAlign w:val="superscript"/>
              </w:rPr>
              <w:t>2</w:t>
            </w:r>
          </w:p>
        </w:tc>
      </w:tr>
    </w:tbl>
    <w:p>
      <w:pPr>
        <w:adjustRightInd w:val="0"/>
        <w:snapToGrid w:val="0"/>
        <w:spacing w:line="440" w:lineRule="exact"/>
        <w:ind w:firstLine="420" w:firstLineChars="200"/>
        <w:outlineLvl w:val="1"/>
        <w:rPr>
          <w:rFonts w:hint="default" w:ascii="Times New Roman" w:hAnsi="Times New Roman" w:cs="Times New Roman"/>
          <w:szCs w:val="21"/>
        </w:rPr>
      </w:pPr>
    </w:p>
    <w:p>
      <w:pPr>
        <w:adjustRightInd w:val="0"/>
        <w:snapToGrid w:val="0"/>
        <w:spacing w:line="440" w:lineRule="exact"/>
        <w:outlineLvl w:val="1"/>
        <w:rPr>
          <w:rFonts w:hint="default" w:ascii="Times New Roman" w:hAnsi="Times New Roman" w:eastAsia="黑体" w:cs="Times New Roman"/>
          <w:szCs w:val="21"/>
        </w:rPr>
      </w:pPr>
      <w:r>
        <w:rPr>
          <w:rFonts w:hint="default" w:ascii="Times New Roman" w:hAnsi="Times New Roman" w:eastAsia="黑体" w:cs="Times New Roman"/>
          <w:szCs w:val="21"/>
        </w:rPr>
        <w:t>2 检验依据</w:t>
      </w:r>
    </w:p>
    <w:p>
      <w:pPr>
        <w:adjustRightInd w:val="0"/>
        <w:ind w:firstLine="420" w:firstLineChars="200"/>
        <w:rPr>
          <w:rFonts w:hint="default" w:ascii="Times New Roman" w:hAnsi="Times New Roman" w:cs="Times New Roman"/>
          <w:color w:val="000000"/>
          <w:szCs w:val="21"/>
        </w:rPr>
      </w:pPr>
      <w:r>
        <w:rPr>
          <w:rFonts w:hint="default" w:ascii="Times New Roman" w:hAnsi="Times New Roman" w:eastAsia="黑体" w:cs="Times New Roman"/>
          <w:szCs w:val="21"/>
        </w:rPr>
        <w:t xml:space="preserve">            </w:t>
      </w:r>
      <w:r>
        <w:rPr>
          <w:rFonts w:hint="default" w:ascii="Times New Roman" w:hAnsi="Times New Roman" w:cs="Times New Roman"/>
          <w:color w:val="000000"/>
          <w:szCs w:val="21"/>
        </w:rPr>
        <w:t xml:space="preserve">        表2    聚碳酸酯（PC）饮用水罐</w:t>
      </w:r>
    </w:p>
    <w:tbl>
      <w:tblPr>
        <w:tblStyle w:val="9"/>
        <w:tblW w:w="4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3545"/>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82" w:type="pct"/>
            <w:noWrap w:val="0"/>
            <w:vAlign w:val="center"/>
          </w:tcPr>
          <w:p>
            <w:pPr>
              <w:keepNext w:val="0"/>
              <w:keepLines w:val="0"/>
              <w:suppressLineNumbers w:val="0"/>
              <w:adjustRightInd w:val="0"/>
              <w:snapToGrid w:val="0"/>
              <w:spacing w:before="0" w:beforeAutospacing="0" w:after="0" w:afterAutospacing="0" w:line="440" w:lineRule="exact"/>
              <w:ind w:left="0" w:right="0"/>
              <w:jc w:val="center"/>
              <w:rPr>
                <w:rFonts w:hint="eastAsia" w:ascii="黑体" w:hAnsi="黑体" w:eastAsia="黑体" w:cs="黑体"/>
                <w:szCs w:val="21"/>
              </w:rPr>
            </w:pPr>
            <w:r>
              <w:rPr>
                <w:rFonts w:hint="eastAsia" w:ascii="黑体" w:hAnsi="黑体" w:eastAsia="黑体" w:cs="黑体"/>
                <w:szCs w:val="21"/>
              </w:rPr>
              <w:t>序号</w:t>
            </w:r>
          </w:p>
        </w:tc>
        <w:tc>
          <w:tcPr>
            <w:tcW w:w="2091" w:type="pct"/>
            <w:noWrap w:val="0"/>
            <w:vAlign w:val="center"/>
          </w:tcPr>
          <w:p>
            <w:pPr>
              <w:keepNext w:val="0"/>
              <w:keepLines w:val="0"/>
              <w:suppressLineNumbers w:val="0"/>
              <w:adjustRightInd w:val="0"/>
              <w:snapToGrid w:val="0"/>
              <w:spacing w:before="0" w:beforeAutospacing="0" w:after="0" w:afterAutospacing="0" w:line="440" w:lineRule="exact"/>
              <w:ind w:left="0" w:right="0"/>
              <w:jc w:val="center"/>
              <w:rPr>
                <w:rFonts w:hint="eastAsia" w:ascii="黑体" w:hAnsi="黑体" w:eastAsia="黑体" w:cs="黑体"/>
                <w:szCs w:val="21"/>
              </w:rPr>
            </w:pPr>
            <w:r>
              <w:rPr>
                <w:rFonts w:hint="eastAsia" w:ascii="黑体" w:hAnsi="黑体" w:eastAsia="黑体" w:cs="黑体"/>
                <w:szCs w:val="21"/>
              </w:rPr>
              <w:t>检验项目</w:t>
            </w:r>
          </w:p>
        </w:tc>
        <w:tc>
          <w:tcPr>
            <w:tcW w:w="2226" w:type="pct"/>
            <w:noWrap w:val="0"/>
            <w:vAlign w:val="center"/>
          </w:tcPr>
          <w:p>
            <w:pPr>
              <w:keepNext w:val="0"/>
              <w:keepLines w:val="0"/>
              <w:suppressLineNumbers w:val="0"/>
              <w:adjustRightInd w:val="0"/>
              <w:snapToGrid w:val="0"/>
              <w:spacing w:before="0" w:beforeAutospacing="0" w:after="0" w:afterAutospacing="0" w:line="440" w:lineRule="exact"/>
              <w:ind w:left="0" w:right="0"/>
              <w:jc w:val="center"/>
              <w:rPr>
                <w:rFonts w:hint="eastAsia" w:ascii="黑体" w:hAnsi="黑体" w:eastAsia="黑体" w:cs="黑体"/>
                <w:szCs w:val="21"/>
              </w:rPr>
            </w:pPr>
            <w:r>
              <w:rPr>
                <w:rFonts w:hint="eastAsia" w:ascii="黑体" w:hAnsi="黑体" w:eastAsia="黑体" w:cs="黑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68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1</w:t>
            </w:r>
          </w:p>
        </w:tc>
        <w:tc>
          <w:tcPr>
            <w:tcW w:w="209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22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4806.7</w:t>
            </w:r>
            <w:r>
              <w:rPr>
                <w:rFonts w:hint="default" w:ascii="Times New Roman" w:hAnsi="Times New Roman" w:cs="Times New Roman"/>
                <w:szCs w:val="21"/>
                <w:lang w:eastAsia="zh-CN"/>
              </w:rPr>
              <w:t>—</w:t>
            </w:r>
            <w:r>
              <w:rPr>
                <w:rFonts w:hint="default" w:ascii="Times New Roman" w:hAnsi="Times New Roman" w:cs="Times New Roman"/>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2</w:t>
            </w:r>
          </w:p>
        </w:tc>
        <w:tc>
          <w:tcPr>
            <w:tcW w:w="209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总迁移量</w:t>
            </w:r>
          </w:p>
        </w:tc>
        <w:tc>
          <w:tcPr>
            <w:tcW w:w="22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31604.8</w:t>
            </w:r>
            <w:r>
              <w:rPr>
                <w:rFonts w:hint="default" w:ascii="Times New Roman" w:hAnsi="Times New Roman" w:cs="Times New Roman"/>
                <w:szCs w:val="21"/>
                <w:lang w:eastAsia="zh-CN"/>
              </w:rPr>
              <w:t>—</w:t>
            </w:r>
            <w:r>
              <w:rPr>
                <w:rFonts w:hint="default" w:ascii="Times New Roman" w:hAnsi="Times New Roman" w:cs="Times New Roman"/>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3</w:t>
            </w:r>
          </w:p>
        </w:tc>
        <w:tc>
          <w:tcPr>
            <w:tcW w:w="209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高锰酸钾消耗量</w:t>
            </w:r>
          </w:p>
        </w:tc>
        <w:tc>
          <w:tcPr>
            <w:tcW w:w="22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31604.2</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4</w:t>
            </w:r>
          </w:p>
        </w:tc>
        <w:tc>
          <w:tcPr>
            <w:tcW w:w="209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重金属（以Pb计）</w:t>
            </w:r>
          </w:p>
        </w:tc>
        <w:tc>
          <w:tcPr>
            <w:tcW w:w="22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31604.9</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68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5</w:t>
            </w:r>
          </w:p>
        </w:tc>
        <w:tc>
          <w:tcPr>
            <w:tcW w:w="209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脱色试验</w:t>
            </w:r>
            <w:r>
              <w:rPr>
                <w:rFonts w:hint="default" w:ascii="Times New Roman" w:hAnsi="Times New Roman" w:cs="Times New Roman"/>
                <w:szCs w:val="21"/>
                <w:lang w:val="pt-BR"/>
              </w:rPr>
              <w:t>（</w:t>
            </w:r>
            <w:r>
              <w:rPr>
                <w:rFonts w:hint="default" w:ascii="Times New Roman" w:hAnsi="Times New Roman" w:cs="Times New Roman"/>
                <w:szCs w:val="21"/>
              </w:rPr>
              <w:t>限添加了着色剂的产品</w:t>
            </w:r>
            <w:r>
              <w:rPr>
                <w:rFonts w:hint="default" w:ascii="Times New Roman" w:hAnsi="Times New Roman" w:cs="Times New Roman"/>
                <w:szCs w:val="21"/>
                <w:lang w:val="pt-BR"/>
              </w:rPr>
              <w:t>）</w:t>
            </w:r>
          </w:p>
        </w:tc>
        <w:tc>
          <w:tcPr>
            <w:tcW w:w="22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8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6</w:t>
            </w:r>
          </w:p>
        </w:tc>
        <w:tc>
          <w:tcPr>
            <w:tcW w:w="2091" w:type="pct"/>
            <w:noWrap w:val="0"/>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 双酚A</w:t>
            </w:r>
          </w:p>
        </w:tc>
        <w:tc>
          <w:tcPr>
            <w:tcW w:w="22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szCs w:val="21"/>
              </w:rPr>
              <w:t>GB 31604.10</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8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7</w:t>
            </w:r>
          </w:p>
        </w:tc>
        <w:tc>
          <w:tcPr>
            <w:tcW w:w="209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芳香族伯胺迁移总量</w:t>
            </w:r>
          </w:p>
        </w:tc>
        <w:tc>
          <w:tcPr>
            <w:tcW w:w="22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jc w:val="center"/>
        </w:trPr>
        <w:tc>
          <w:tcPr>
            <w:tcW w:w="5000" w:type="pct"/>
            <w:gridSpan w:val="3"/>
            <w:noWrap w:val="0"/>
            <w:vAlign w:val="center"/>
          </w:tcPr>
          <w:p>
            <w:pPr>
              <w:keepNext w:val="0"/>
              <w:keepLines w:val="0"/>
              <w:suppressLineNumbers w:val="0"/>
              <w:adjustRightInd w:val="0"/>
              <w:snapToGrid w:val="0"/>
              <w:spacing w:before="0" w:beforeAutospacing="0" w:after="0" w:afterAutospacing="0"/>
              <w:ind w:left="0" w:right="0"/>
              <w:jc w:val="left"/>
              <w:rPr>
                <w:rFonts w:hint="default" w:ascii="Times New Roman" w:hAnsi="Times New Roman" w:cs="Times New Roman"/>
                <w:color w:val="000000"/>
              </w:rPr>
            </w:pPr>
            <w:r>
              <w:rPr>
                <w:rFonts w:hint="default" w:ascii="Times New Roman" w:hAnsi="Times New Roman" w:cs="Times New Roman"/>
                <w:color w:val="000000"/>
              </w:rPr>
              <w:t>注：1.高锰酸钾消耗量不适用于执行标准为GB 4806.7</w:t>
            </w:r>
            <w:r>
              <w:rPr>
                <w:rFonts w:hint="default" w:ascii="Times New Roman" w:hAnsi="Times New Roman" w:cs="Times New Roman"/>
                <w:szCs w:val="21"/>
              </w:rPr>
              <w:t>—</w:t>
            </w:r>
            <w:r>
              <w:rPr>
                <w:rFonts w:hint="default" w:ascii="Times New Roman" w:hAnsi="Times New Roman" w:cs="Times New Roman"/>
                <w:color w:val="000000"/>
              </w:rPr>
              <w:t>2023中的淀粉含量≥40%的淀粉基塑料材料及制品。</w:t>
            </w:r>
          </w:p>
          <w:p>
            <w:pPr>
              <w:keepNext w:val="0"/>
              <w:keepLines w:val="0"/>
              <w:suppressLineNumbers w:val="0"/>
              <w:adjustRightInd w:val="0"/>
              <w:snapToGrid w:val="0"/>
              <w:spacing w:before="0" w:beforeAutospacing="0" w:after="0" w:afterAutospacing="0"/>
              <w:ind w:left="0" w:right="0" w:firstLine="420" w:firstLineChars="200"/>
              <w:jc w:val="left"/>
              <w:rPr>
                <w:rFonts w:hint="default" w:ascii="Times New Roman" w:hAnsi="Times New Roman" w:cs="Times New Roman"/>
                <w:color w:val="000000"/>
              </w:rPr>
            </w:pPr>
            <w:r>
              <w:rPr>
                <w:rFonts w:hint="default" w:ascii="Times New Roman" w:hAnsi="Times New Roman" w:cs="Times New Roman"/>
                <w:color w:val="000000"/>
                <w:szCs w:val="21"/>
              </w:rPr>
              <w:t>2.</w:t>
            </w:r>
            <w:r>
              <w:rPr>
                <w:rFonts w:hint="default" w:ascii="Times New Roman" w:hAnsi="Times New Roman" w:cs="Times New Roman"/>
                <w:color w:val="000000"/>
              </w:rPr>
              <w:t>芳香族伯胺迁移总量适用于执行标准为GB 4806.7</w:t>
            </w:r>
            <w:r>
              <w:rPr>
                <w:rFonts w:hint="default" w:ascii="Times New Roman" w:hAnsi="Times New Roman" w:cs="Times New Roman"/>
                <w:szCs w:val="21"/>
              </w:rPr>
              <w:t>—</w:t>
            </w:r>
            <w:r>
              <w:rPr>
                <w:rFonts w:hint="default" w:ascii="Times New Roman" w:hAnsi="Times New Roman" w:cs="Times New Roman"/>
                <w:color w:val="000000"/>
              </w:rPr>
              <w:t>2023，且含有芳香族异氰酸酯和偶氮类着色剂等可能产生芳香族伯胺类物质的产品。</w:t>
            </w:r>
          </w:p>
          <w:p>
            <w:pPr>
              <w:keepNext w:val="0"/>
              <w:keepLines w:val="0"/>
              <w:suppressLineNumbers w:val="0"/>
              <w:adjustRightInd w:val="0"/>
              <w:snapToGrid w:val="0"/>
              <w:spacing w:before="0" w:beforeAutospacing="0" w:after="0" w:afterAutospacing="0"/>
              <w:ind w:left="0" w:right="0" w:firstLine="420" w:firstLineChars="200"/>
              <w:jc w:val="left"/>
              <w:rPr>
                <w:rFonts w:hint="default" w:ascii="Times New Roman" w:hAnsi="Times New Roman" w:cs="Times New Roman"/>
                <w:szCs w:val="21"/>
              </w:rPr>
            </w:pPr>
            <w:r>
              <w:rPr>
                <w:rFonts w:hint="default" w:ascii="Times New Roman" w:hAnsi="Times New Roman" w:cs="Times New Roman"/>
                <w:color w:val="000000"/>
              </w:rPr>
              <w:t>3.</w:t>
            </w:r>
            <w:r>
              <w:rPr>
                <w:rFonts w:hint="default" w:ascii="Times New Roman" w:hAnsi="Times New Roman" w:cs="Times New Roman"/>
              </w:rPr>
              <w:t xml:space="preserve"> </w:t>
            </w:r>
            <w:r>
              <w:rPr>
                <w:rFonts w:hint="default" w:ascii="Times New Roman" w:hAnsi="Times New Roman" w:cs="Times New Roman"/>
                <w:color w:val="000000"/>
              </w:rPr>
              <w:t>脱色试验仅适用于添加了着色剂的产品。</w:t>
            </w:r>
          </w:p>
        </w:tc>
      </w:tr>
    </w:tbl>
    <w:p>
      <w:pPr>
        <w:adjustRightInd w:val="0"/>
        <w:snapToGrid w:val="0"/>
        <w:rPr>
          <w:rFonts w:hint="default" w:ascii="Times New Roman" w:hAnsi="Times New Roman" w:cs="Times New Roman"/>
          <w:color w:val="000000"/>
          <w:szCs w:val="21"/>
        </w:rPr>
      </w:pPr>
    </w:p>
    <w:p>
      <w:pPr>
        <w:adjustRightInd w:val="0"/>
        <w:snapToGrid w:val="0"/>
        <w:jc w:val="center"/>
        <w:rPr>
          <w:rFonts w:hint="default" w:ascii="Times New Roman" w:hAnsi="Times New Roman" w:cs="Times New Roman"/>
          <w:szCs w:val="21"/>
        </w:rPr>
      </w:pPr>
      <w:r>
        <w:rPr>
          <w:rFonts w:hint="default" w:ascii="Times New Roman" w:hAnsi="Times New Roman" w:cs="Times New Roman"/>
          <w:color w:val="000000"/>
          <w:szCs w:val="21"/>
        </w:rPr>
        <w:t>表3 瓶坯、PET食瓶、聚酯（PET）无汽饮料瓶</w:t>
      </w:r>
    </w:p>
    <w:tbl>
      <w:tblPr>
        <w:tblStyle w:val="9"/>
        <w:tblW w:w="46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3693"/>
        <w:gridCol w:w="3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67" w:type="pct"/>
            <w:noWrap w:val="0"/>
            <w:vAlign w:val="center"/>
          </w:tcPr>
          <w:p>
            <w:pPr>
              <w:keepNext w:val="0"/>
              <w:keepLines w:val="0"/>
              <w:suppressLineNumbers w:val="0"/>
              <w:adjustRightInd w:val="0"/>
              <w:snapToGrid w:val="0"/>
              <w:spacing w:before="0" w:beforeAutospacing="0" w:after="0" w:afterAutospacing="0" w:line="440" w:lineRule="exact"/>
              <w:ind w:left="0" w:right="0"/>
              <w:jc w:val="center"/>
              <w:rPr>
                <w:rFonts w:hint="eastAsia" w:ascii="黑体" w:hAnsi="黑体" w:eastAsia="黑体" w:cs="黑体"/>
                <w:szCs w:val="21"/>
              </w:rPr>
            </w:pPr>
            <w:r>
              <w:rPr>
                <w:rFonts w:hint="eastAsia" w:ascii="黑体" w:hAnsi="黑体" w:eastAsia="黑体" w:cs="黑体"/>
                <w:szCs w:val="21"/>
              </w:rPr>
              <w:t>序号</w:t>
            </w:r>
          </w:p>
        </w:tc>
        <w:tc>
          <w:tcPr>
            <w:tcW w:w="2163" w:type="pct"/>
            <w:noWrap w:val="0"/>
            <w:vAlign w:val="center"/>
          </w:tcPr>
          <w:p>
            <w:pPr>
              <w:keepNext w:val="0"/>
              <w:keepLines w:val="0"/>
              <w:suppressLineNumbers w:val="0"/>
              <w:adjustRightInd w:val="0"/>
              <w:snapToGrid w:val="0"/>
              <w:spacing w:before="0" w:beforeAutospacing="0" w:after="0" w:afterAutospacing="0" w:line="440" w:lineRule="exact"/>
              <w:ind w:left="0" w:right="0"/>
              <w:jc w:val="center"/>
              <w:rPr>
                <w:rFonts w:hint="eastAsia" w:ascii="黑体" w:hAnsi="黑体" w:eastAsia="黑体" w:cs="黑体"/>
                <w:szCs w:val="21"/>
              </w:rPr>
            </w:pPr>
            <w:r>
              <w:rPr>
                <w:rFonts w:hint="eastAsia" w:ascii="黑体" w:hAnsi="黑体" w:eastAsia="黑体" w:cs="黑体"/>
                <w:szCs w:val="21"/>
              </w:rPr>
              <w:t>检验项目</w:t>
            </w:r>
          </w:p>
        </w:tc>
        <w:tc>
          <w:tcPr>
            <w:tcW w:w="2169" w:type="pct"/>
            <w:noWrap w:val="0"/>
            <w:vAlign w:val="center"/>
          </w:tcPr>
          <w:p>
            <w:pPr>
              <w:keepNext w:val="0"/>
              <w:keepLines w:val="0"/>
              <w:suppressLineNumbers w:val="0"/>
              <w:adjustRightInd w:val="0"/>
              <w:snapToGrid w:val="0"/>
              <w:spacing w:before="0" w:beforeAutospacing="0" w:after="0" w:afterAutospacing="0" w:line="440" w:lineRule="exact"/>
              <w:ind w:left="0" w:right="0"/>
              <w:jc w:val="center"/>
              <w:rPr>
                <w:rFonts w:hint="eastAsia" w:ascii="黑体" w:hAnsi="黑体" w:eastAsia="黑体" w:cs="黑体"/>
                <w:szCs w:val="21"/>
              </w:rPr>
            </w:pPr>
            <w:r>
              <w:rPr>
                <w:rFonts w:hint="eastAsia" w:ascii="黑体" w:hAnsi="黑体" w:eastAsia="黑体" w:cs="黑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1</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4806.7</w:t>
            </w:r>
            <w:r>
              <w:rPr>
                <w:rFonts w:hint="default" w:ascii="Times New Roman" w:hAnsi="Times New Roman" w:cs="Times New Roman"/>
                <w:szCs w:val="21"/>
                <w:lang w:eastAsia="zh-CN"/>
              </w:rPr>
              <w:t>—</w:t>
            </w:r>
            <w:r>
              <w:rPr>
                <w:rFonts w:hint="default" w:ascii="Times New Roman" w:hAnsi="Times New Roman" w:cs="Times New Roman"/>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2</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总迁移量</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31604.8</w:t>
            </w:r>
            <w:r>
              <w:rPr>
                <w:rFonts w:hint="default" w:ascii="Times New Roman" w:hAnsi="Times New Roman" w:cs="Times New Roman"/>
                <w:szCs w:val="21"/>
                <w:lang w:eastAsia="zh-CN"/>
              </w:rPr>
              <w:t>—</w:t>
            </w:r>
            <w:r>
              <w:rPr>
                <w:rFonts w:hint="default" w:ascii="Times New Roman" w:hAnsi="Times New Roman" w:cs="Times New Roman"/>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3</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高锰酸钾消耗量</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31604.2</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4</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重金属（以Pb计）</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31604.9</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5</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脱色试验</w:t>
            </w:r>
            <w:r>
              <w:rPr>
                <w:rFonts w:hint="default" w:ascii="Times New Roman" w:hAnsi="Times New Roman" w:cs="Times New Roman"/>
                <w:szCs w:val="21"/>
                <w:lang w:val="pt-BR"/>
              </w:rPr>
              <w:t>（</w:t>
            </w:r>
            <w:r>
              <w:rPr>
                <w:rFonts w:hint="default" w:ascii="Times New Roman" w:hAnsi="Times New Roman" w:cs="Times New Roman"/>
                <w:szCs w:val="21"/>
              </w:rPr>
              <w:t>限添加了着色剂的产品</w:t>
            </w:r>
            <w:r>
              <w:rPr>
                <w:rFonts w:hint="default" w:ascii="Times New Roman" w:hAnsi="Times New Roman" w:cs="Times New Roman"/>
                <w:szCs w:val="21"/>
                <w:lang w:val="pt-BR"/>
              </w:rPr>
              <w:t>）</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7</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特定迁移总量（以对苯二甲酸计）</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31604.21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特定迁移总量（以乙二醇计）</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31604.44</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6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9</w:t>
            </w:r>
          </w:p>
        </w:tc>
        <w:tc>
          <w:tcPr>
            <w:tcW w:w="216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芳香族伯胺迁移总量</w:t>
            </w:r>
          </w:p>
        </w:tc>
        <w:tc>
          <w:tcPr>
            <w:tcW w:w="21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5000" w:type="pct"/>
            <w:gridSpan w:val="3"/>
            <w:noWrap w:val="0"/>
            <w:vAlign w:val="center"/>
          </w:tcPr>
          <w:p>
            <w:pPr>
              <w:keepNext w:val="0"/>
              <w:keepLines w:val="0"/>
              <w:suppressLineNumbers w:val="0"/>
              <w:adjustRightInd w:val="0"/>
              <w:snapToGrid w:val="0"/>
              <w:spacing w:before="0" w:beforeAutospacing="0" w:after="0" w:afterAutospacing="0"/>
              <w:ind w:left="0" w:right="0"/>
              <w:jc w:val="left"/>
              <w:rPr>
                <w:rFonts w:hint="default" w:ascii="Times New Roman" w:hAnsi="Times New Roman" w:cs="Times New Roman"/>
                <w:color w:val="000000"/>
              </w:rPr>
            </w:pPr>
            <w:r>
              <w:rPr>
                <w:rFonts w:hint="default" w:ascii="Times New Roman" w:hAnsi="Times New Roman" w:cs="Times New Roman"/>
                <w:color w:val="000000"/>
              </w:rPr>
              <w:t>注：1.高锰酸钾消耗量不适用于执行标准为GB 4806.7</w:t>
            </w:r>
            <w:r>
              <w:rPr>
                <w:rFonts w:hint="default" w:ascii="Times New Roman" w:hAnsi="Times New Roman" w:cs="Times New Roman"/>
                <w:szCs w:val="21"/>
              </w:rPr>
              <w:t>—</w:t>
            </w:r>
            <w:r>
              <w:rPr>
                <w:rFonts w:hint="default" w:ascii="Times New Roman" w:hAnsi="Times New Roman" w:cs="Times New Roman"/>
                <w:color w:val="000000"/>
              </w:rPr>
              <w:t>2023中的淀粉含量≥40%的淀粉基塑料材料及制品。</w:t>
            </w:r>
          </w:p>
          <w:p>
            <w:pPr>
              <w:keepNext w:val="0"/>
              <w:keepLines w:val="0"/>
              <w:suppressLineNumbers w:val="0"/>
              <w:adjustRightInd w:val="0"/>
              <w:snapToGrid w:val="0"/>
              <w:spacing w:before="0" w:beforeAutospacing="0" w:after="0" w:afterAutospacing="0"/>
              <w:ind w:left="0" w:right="0" w:firstLine="420" w:firstLineChars="200"/>
              <w:jc w:val="left"/>
              <w:rPr>
                <w:rFonts w:hint="default" w:ascii="Times New Roman" w:hAnsi="Times New Roman" w:cs="Times New Roman"/>
                <w:color w:val="000000"/>
              </w:rPr>
            </w:pPr>
            <w:r>
              <w:rPr>
                <w:rFonts w:hint="default" w:ascii="Times New Roman" w:hAnsi="Times New Roman" w:cs="Times New Roman"/>
                <w:color w:val="000000"/>
                <w:szCs w:val="21"/>
              </w:rPr>
              <w:t>2.</w:t>
            </w:r>
            <w:r>
              <w:rPr>
                <w:rFonts w:hint="default" w:ascii="Times New Roman" w:hAnsi="Times New Roman" w:cs="Times New Roman"/>
                <w:color w:val="000000"/>
              </w:rPr>
              <w:t>芳香族伯胺迁移总量适用于执行标准为GB 4806.7</w:t>
            </w:r>
            <w:r>
              <w:rPr>
                <w:rFonts w:hint="default" w:ascii="Times New Roman" w:hAnsi="Times New Roman" w:cs="Times New Roman"/>
                <w:szCs w:val="21"/>
              </w:rPr>
              <w:t>—</w:t>
            </w:r>
            <w:r>
              <w:rPr>
                <w:rFonts w:hint="default" w:ascii="Times New Roman" w:hAnsi="Times New Roman" w:cs="Times New Roman"/>
                <w:color w:val="000000"/>
              </w:rPr>
              <w:t>2023，且含有芳香族异氰酸酯和偶氮类着色剂等可能产生芳香族伯胺类物质的产品。</w:t>
            </w:r>
          </w:p>
          <w:p>
            <w:pPr>
              <w:keepNext w:val="0"/>
              <w:keepLines w:val="0"/>
              <w:suppressLineNumbers w:val="0"/>
              <w:adjustRightInd w:val="0"/>
              <w:snapToGrid w:val="0"/>
              <w:spacing w:before="0" w:beforeAutospacing="0" w:after="0" w:afterAutospacing="0"/>
              <w:ind w:left="0" w:right="0" w:firstLine="420" w:firstLineChars="200"/>
              <w:jc w:val="left"/>
              <w:rPr>
                <w:rFonts w:hint="default" w:ascii="Times New Roman" w:hAnsi="Times New Roman" w:cs="Times New Roman"/>
                <w:szCs w:val="21"/>
              </w:rPr>
            </w:pPr>
            <w:r>
              <w:rPr>
                <w:rFonts w:hint="default" w:ascii="Times New Roman" w:hAnsi="Times New Roman" w:cs="Times New Roman"/>
                <w:color w:val="000000"/>
              </w:rPr>
              <w:t>3.</w:t>
            </w:r>
            <w:r>
              <w:rPr>
                <w:rFonts w:hint="default" w:ascii="Times New Roman" w:hAnsi="Times New Roman" w:cs="Times New Roman"/>
              </w:rPr>
              <w:t xml:space="preserve"> </w:t>
            </w:r>
            <w:r>
              <w:rPr>
                <w:rFonts w:hint="default" w:ascii="Times New Roman" w:hAnsi="Times New Roman" w:cs="Times New Roman"/>
                <w:color w:val="000000"/>
              </w:rPr>
              <w:t>脱色试验仅适用于添加了着色剂的产品。</w:t>
            </w:r>
          </w:p>
        </w:tc>
      </w:tr>
    </w:tbl>
    <w:p>
      <w:pPr>
        <w:adjustRightInd w:val="0"/>
        <w:snapToGrid w:val="0"/>
        <w:jc w:val="center"/>
        <w:rPr>
          <w:rFonts w:hint="default" w:ascii="Times New Roman" w:hAnsi="Times New Roman" w:cs="Times New Roman"/>
          <w:szCs w:val="21"/>
        </w:rPr>
      </w:pPr>
    </w:p>
    <w:p>
      <w:pPr>
        <w:adjustRightInd w:val="0"/>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 xml:space="preserve">                       表4 </w:t>
      </w:r>
      <w:r>
        <w:rPr>
          <w:rFonts w:hint="eastAsia" w:ascii="Times New Roman" w:hAnsi="Times New Roman" w:cs="Times New Roman"/>
          <w:color w:val="000000"/>
          <w:szCs w:val="21"/>
          <w:lang w:val="en-US" w:eastAsia="zh-CN"/>
        </w:rPr>
        <w:t>其他</w:t>
      </w:r>
      <w:r>
        <w:rPr>
          <w:rFonts w:hint="default" w:ascii="Times New Roman" w:hAnsi="Times New Roman" w:cs="Times New Roman"/>
          <w:color w:val="000000"/>
          <w:szCs w:val="21"/>
        </w:rPr>
        <w:t>食品接触用塑料制品检验项目</w:t>
      </w:r>
    </w:p>
    <w:tbl>
      <w:tblPr>
        <w:tblStyle w:val="9"/>
        <w:tblW w:w="46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3745"/>
        <w:gridCol w:w="3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blHeader/>
          <w:jc w:val="center"/>
        </w:trPr>
        <w:tc>
          <w:tcPr>
            <w:tcW w:w="651"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黑体" w:hAnsi="黑体" w:eastAsia="黑体" w:cs="黑体"/>
                <w:color w:val="000000"/>
                <w:szCs w:val="21"/>
              </w:rPr>
            </w:pPr>
            <w:r>
              <w:rPr>
                <w:rFonts w:hint="eastAsia" w:ascii="黑体" w:hAnsi="黑体" w:eastAsia="黑体" w:cs="黑体"/>
                <w:color w:val="000000"/>
                <w:szCs w:val="21"/>
              </w:rPr>
              <w:t>序号</w:t>
            </w:r>
          </w:p>
        </w:tc>
        <w:tc>
          <w:tcPr>
            <w:tcW w:w="2183"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2165"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黑体" w:hAnsi="黑体" w:eastAsia="黑体" w:cs="黑体"/>
                <w:color w:val="000000"/>
                <w:szCs w:val="21"/>
              </w:rPr>
            </w:pPr>
            <w:r>
              <w:rPr>
                <w:rFonts w:hint="eastAsia" w:ascii="黑体" w:hAnsi="黑体" w:eastAsia="黑体" w:cs="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1</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4806.7</w:t>
            </w:r>
            <w:r>
              <w:rPr>
                <w:rFonts w:hint="default" w:ascii="Times New Roman" w:hAnsi="Times New Roman" w:cs="Times New Roman"/>
                <w:szCs w:val="21"/>
                <w:lang w:eastAsia="zh-CN"/>
              </w:rPr>
              <w:t>—</w:t>
            </w:r>
            <w:r>
              <w:rPr>
                <w:rFonts w:hint="default" w:ascii="Times New Roman" w:hAnsi="Times New Roman" w:cs="Times New Roman"/>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2</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总迁移量</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31604.8</w:t>
            </w:r>
            <w:r>
              <w:rPr>
                <w:rFonts w:hint="default" w:ascii="Times New Roman" w:hAnsi="Times New Roman" w:cs="Times New Roman"/>
                <w:szCs w:val="21"/>
                <w:lang w:eastAsia="zh-CN"/>
              </w:rPr>
              <w:t>—</w:t>
            </w:r>
            <w:r>
              <w:rPr>
                <w:rFonts w:hint="default" w:ascii="Times New Roman" w:hAnsi="Times New Roman" w:cs="Times New Roman"/>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3</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高锰酸钾消耗量</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31604.2</w:t>
            </w:r>
            <w:r>
              <w:rPr>
                <w:rFonts w:hint="default" w:ascii="Times New Roman" w:hAnsi="Times New Roman" w:cs="Times New Roman"/>
                <w:szCs w:val="21"/>
                <w:lang w:eastAsia="zh-CN"/>
              </w:rPr>
              <w:t>—</w:t>
            </w:r>
            <w:r>
              <w:rPr>
                <w:rFonts w:hint="default" w:ascii="Times New Roman" w:hAnsi="Times New Roman" w:cs="Times New Roman"/>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4</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重金属（以Pb计）</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31604.9</w:t>
            </w:r>
            <w:r>
              <w:rPr>
                <w:rFonts w:hint="default" w:ascii="Times New Roman" w:hAnsi="Times New Roman" w:cs="Times New Roman"/>
                <w:szCs w:val="21"/>
                <w:lang w:eastAsia="zh-CN"/>
              </w:rPr>
              <w:t>—</w:t>
            </w:r>
            <w:r>
              <w:rPr>
                <w:rFonts w:hint="default" w:ascii="Times New Roman" w:hAnsi="Times New Roman" w:cs="Times New Roman"/>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5</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脱色试验</w:t>
            </w:r>
            <w:r>
              <w:rPr>
                <w:rFonts w:hint="default" w:ascii="Times New Roman" w:hAnsi="Times New Roman" w:cs="Times New Roman"/>
                <w:szCs w:val="21"/>
                <w:lang w:val="pt-BR"/>
              </w:rPr>
              <w:t>（</w:t>
            </w:r>
            <w:r>
              <w:rPr>
                <w:rFonts w:hint="default" w:ascii="Times New Roman" w:hAnsi="Times New Roman" w:cs="Times New Roman"/>
                <w:szCs w:val="21"/>
              </w:rPr>
              <w:t>限添加了着色剂的产品</w:t>
            </w:r>
            <w:r>
              <w:rPr>
                <w:rFonts w:hint="default" w:ascii="Times New Roman" w:hAnsi="Times New Roman" w:cs="Times New Roman"/>
                <w:szCs w:val="21"/>
                <w:lang w:val="pt-BR"/>
              </w:rPr>
              <w:t>）</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6</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特定迁移总量（以己内酰胺计）（限PA材质）</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 xml:space="preserve">GB 31604.19—2016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7</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氯乙烯特定迁移量（限PVC材质）</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31604.31—20</w:t>
            </w:r>
            <w:r>
              <w:rPr>
                <w:rFonts w:hint="eastAsia" w:ascii="Times New Roman" w:hAnsi="Times New Roman" w:cs="Times New Roman"/>
                <w:szCs w:val="21"/>
                <w:lang w:val="en-US" w:eastAsia="zh-CN"/>
              </w:rPr>
              <w:t>25</w:t>
            </w:r>
            <w:r>
              <w:rPr>
                <w:rFonts w:hint="default" w:ascii="Times New Roman" w:hAnsi="Times New Roman"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8</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特定迁移总量（以对苯二甲酸计）（限PET材质）</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31604.21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9</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特定迁移总量（以乙二醇计）（限PET材质）</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31604.44</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0</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1,3</w:t>
            </w:r>
            <w:r>
              <w:rPr>
                <w:rFonts w:hint="default" w:ascii="Times New Roman" w:hAnsi="Times New Roman" w:cs="Times New Roman"/>
                <w:szCs w:val="21"/>
                <w:lang w:eastAsia="zh-CN"/>
              </w:rPr>
              <w:t>—</w:t>
            </w:r>
            <w:r>
              <w:rPr>
                <w:rFonts w:hint="default" w:ascii="Times New Roman" w:hAnsi="Times New Roman" w:cs="Times New Roman"/>
                <w:szCs w:val="21"/>
              </w:rPr>
              <w:t>丁二烯特定迁移量（限有丁二烯单体的聚合物）</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31604.12</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1</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苯乙烯和乙苯残留量（限PS材质)</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31604.16</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2</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邻苯类增塑剂特定迁移量（限PVC材质）</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31604.30</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3</w:t>
            </w:r>
          </w:p>
        </w:tc>
        <w:tc>
          <w:tcPr>
            <w:tcW w:w="218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芳香族伯胺迁移总量</w:t>
            </w:r>
          </w:p>
        </w:tc>
        <w:tc>
          <w:tcPr>
            <w:tcW w:w="216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exact"/>
          <w:jc w:val="center"/>
        </w:trPr>
        <w:tc>
          <w:tcPr>
            <w:tcW w:w="5000" w:type="pct"/>
            <w:gridSpan w:val="3"/>
            <w:noWrap w:val="0"/>
            <w:vAlign w:val="center"/>
          </w:tcPr>
          <w:p>
            <w:pPr>
              <w:keepNext w:val="0"/>
              <w:keepLines w:val="0"/>
              <w:suppressLineNumbers w:val="0"/>
              <w:adjustRightInd w:val="0"/>
              <w:snapToGrid w:val="0"/>
              <w:spacing w:before="0" w:beforeAutospacing="0" w:after="0" w:afterAutospacing="0"/>
              <w:ind w:left="0" w:right="0"/>
              <w:jc w:val="left"/>
              <w:rPr>
                <w:rFonts w:hint="default" w:ascii="Times New Roman" w:hAnsi="Times New Roman" w:cs="Times New Roman"/>
                <w:color w:val="000000"/>
              </w:rPr>
            </w:pPr>
            <w:r>
              <w:rPr>
                <w:rFonts w:hint="default" w:ascii="Times New Roman" w:hAnsi="Times New Roman" w:cs="Times New Roman"/>
                <w:color w:val="000000"/>
              </w:rPr>
              <w:t>注：1.高锰酸钾消耗量不适用于执行标准为GB 4806.7</w:t>
            </w:r>
            <w:r>
              <w:rPr>
                <w:rFonts w:hint="default" w:ascii="Times New Roman" w:hAnsi="Times New Roman" w:cs="Times New Roman"/>
                <w:szCs w:val="21"/>
              </w:rPr>
              <w:t>—</w:t>
            </w:r>
            <w:r>
              <w:rPr>
                <w:rFonts w:hint="default" w:ascii="Times New Roman" w:hAnsi="Times New Roman" w:cs="Times New Roman"/>
                <w:color w:val="000000"/>
              </w:rPr>
              <w:t>2023中的淀粉含量≥40%的淀粉基塑料材料及制品。</w:t>
            </w:r>
          </w:p>
          <w:p>
            <w:pPr>
              <w:keepNext w:val="0"/>
              <w:keepLines w:val="0"/>
              <w:suppressLineNumbers w:val="0"/>
              <w:adjustRightInd w:val="0"/>
              <w:snapToGrid w:val="0"/>
              <w:spacing w:before="0" w:beforeAutospacing="0" w:after="0" w:afterAutospacing="0"/>
              <w:ind w:left="0" w:right="0" w:firstLine="420" w:firstLineChars="200"/>
              <w:jc w:val="left"/>
              <w:rPr>
                <w:rFonts w:hint="default" w:ascii="Times New Roman" w:hAnsi="Times New Roman" w:cs="Times New Roman"/>
                <w:color w:val="000000"/>
              </w:rPr>
            </w:pPr>
            <w:r>
              <w:rPr>
                <w:rFonts w:hint="default" w:ascii="Times New Roman" w:hAnsi="Times New Roman" w:cs="Times New Roman"/>
                <w:color w:val="000000"/>
                <w:szCs w:val="21"/>
              </w:rPr>
              <w:t>2.</w:t>
            </w:r>
            <w:r>
              <w:rPr>
                <w:rFonts w:hint="default" w:ascii="Times New Roman" w:hAnsi="Times New Roman" w:cs="Times New Roman"/>
                <w:color w:val="000000"/>
              </w:rPr>
              <w:t>芳香族伯胺迁移总量适用于执行标准为GB 4806.7</w:t>
            </w:r>
            <w:r>
              <w:rPr>
                <w:rFonts w:hint="default" w:ascii="Times New Roman" w:hAnsi="Times New Roman" w:cs="Times New Roman"/>
                <w:szCs w:val="21"/>
              </w:rPr>
              <w:t>—</w:t>
            </w:r>
            <w:r>
              <w:rPr>
                <w:rFonts w:hint="default" w:ascii="Times New Roman" w:hAnsi="Times New Roman" w:cs="Times New Roman"/>
                <w:color w:val="000000"/>
              </w:rPr>
              <w:t>2023，且含有芳香族异氰酸酯和偶氮类着色剂等可能产生芳香族伯胺类物质的产品。</w:t>
            </w:r>
          </w:p>
          <w:p>
            <w:pPr>
              <w:keepNext w:val="0"/>
              <w:keepLines w:val="0"/>
              <w:suppressLineNumbers w:val="0"/>
              <w:adjustRightInd w:val="0"/>
              <w:snapToGrid w:val="0"/>
              <w:spacing w:before="0" w:beforeAutospacing="0" w:after="0" w:afterAutospacing="0"/>
              <w:ind w:left="0" w:right="0" w:firstLine="420" w:firstLineChars="200"/>
              <w:jc w:val="both"/>
              <w:rPr>
                <w:rFonts w:hint="default" w:ascii="Times New Roman" w:hAnsi="Times New Roman" w:cs="Times New Roman"/>
                <w:szCs w:val="21"/>
              </w:rPr>
            </w:pPr>
            <w:r>
              <w:rPr>
                <w:rFonts w:hint="default" w:ascii="Times New Roman" w:hAnsi="Times New Roman" w:cs="Times New Roman"/>
                <w:color w:val="000000"/>
              </w:rPr>
              <w:t>3.</w:t>
            </w:r>
            <w:r>
              <w:rPr>
                <w:rFonts w:hint="default" w:ascii="Times New Roman" w:hAnsi="Times New Roman" w:cs="Times New Roman"/>
              </w:rPr>
              <w:t xml:space="preserve"> </w:t>
            </w:r>
            <w:r>
              <w:rPr>
                <w:rFonts w:hint="default" w:ascii="Times New Roman" w:hAnsi="Times New Roman" w:cs="Times New Roman"/>
                <w:color w:val="000000"/>
              </w:rPr>
              <w:t>脱色试验仅适用于添加了着色剂的产品。</w:t>
            </w:r>
          </w:p>
        </w:tc>
      </w:tr>
    </w:tbl>
    <w:p>
      <w:pPr>
        <w:adjustRightInd w:val="0"/>
        <w:snapToGrid w:val="0"/>
        <w:rPr>
          <w:rFonts w:hint="default" w:ascii="Times New Roman" w:hAnsi="Times New Roman" w:cs="Times New Roman"/>
          <w:szCs w:val="21"/>
        </w:rPr>
      </w:pPr>
    </w:p>
    <w:p>
      <w:pPr>
        <w:adjustRightInd w:val="0"/>
        <w:snapToGrid w:val="0"/>
        <w:ind w:firstLine="2100" w:firstLineChars="1000"/>
        <w:jc w:val="both"/>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表5   生产领域食品用塑料包装工具等制品检验项目</w:t>
      </w:r>
    </w:p>
    <w:p>
      <w:pPr>
        <w:adjustRightInd w:val="0"/>
        <w:snapToGrid w:val="0"/>
        <w:ind w:firstLine="2100" w:firstLineChars="1000"/>
        <w:jc w:val="both"/>
        <w:rPr>
          <w:rFonts w:hint="eastAsia" w:ascii="Times New Roman" w:hAnsi="Times New Roman" w:cs="Times New Roman"/>
          <w:szCs w:val="21"/>
          <w:lang w:val="en-US" w:eastAsia="zh-CN"/>
        </w:rPr>
      </w:pPr>
    </w:p>
    <w:tbl>
      <w:tblPr>
        <w:tblStyle w:val="9"/>
        <w:tblW w:w="46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4478"/>
        <w:gridCol w:w="2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blHeader/>
          <w:jc w:val="center"/>
        </w:trPr>
        <w:tc>
          <w:tcPr>
            <w:tcW w:w="651"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黑体" w:hAnsi="黑体" w:eastAsia="黑体" w:cs="黑体"/>
                <w:color w:val="000000"/>
                <w:szCs w:val="21"/>
              </w:rPr>
            </w:pPr>
            <w:bookmarkStart w:id="1" w:name="_GoBack" w:colFirst="0" w:colLast="2"/>
            <w:r>
              <w:rPr>
                <w:rFonts w:hint="eastAsia" w:ascii="黑体" w:hAnsi="黑体" w:eastAsia="黑体" w:cs="黑体"/>
                <w:color w:val="000000"/>
                <w:szCs w:val="21"/>
              </w:rPr>
              <w:t>序号</w:t>
            </w:r>
          </w:p>
        </w:tc>
        <w:tc>
          <w:tcPr>
            <w:tcW w:w="261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1738"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黑体" w:hAnsi="黑体" w:eastAsia="黑体" w:cs="黑体"/>
                <w:color w:val="000000"/>
                <w:szCs w:val="21"/>
              </w:rPr>
            </w:pPr>
            <w:r>
              <w:rPr>
                <w:rFonts w:hint="eastAsia" w:ascii="黑体" w:hAnsi="黑体" w:eastAsia="黑体" w:cs="黑体"/>
                <w:color w:val="000000"/>
                <w:szCs w:val="21"/>
              </w:rPr>
              <w:t>检验方法</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1</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4806.7</w:t>
            </w:r>
            <w:r>
              <w:rPr>
                <w:rFonts w:hint="default" w:ascii="Times New Roman" w:hAnsi="Times New Roman" w:cs="Times New Roman"/>
                <w:szCs w:val="21"/>
                <w:lang w:eastAsia="zh-CN"/>
              </w:rPr>
              <w:t>—</w:t>
            </w:r>
            <w:r>
              <w:rPr>
                <w:rFonts w:hint="default" w:ascii="Times New Roman" w:hAnsi="Times New Roman" w:cs="Times New Roman"/>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2</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总迁移量</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31604.8</w:t>
            </w:r>
            <w:r>
              <w:rPr>
                <w:rFonts w:hint="default" w:ascii="Times New Roman" w:hAnsi="Times New Roman" w:cs="Times New Roman"/>
                <w:szCs w:val="21"/>
                <w:lang w:eastAsia="zh-CN"/>
              </w:rPr>
              <w:t>—</w:t>
            </w:r>
            <w:r>
              <w:rPr>
                <w:rFonts w:hint="default" w:ascii="Times New Roman" w:hAnsi="Times New Roman" w:cs="Times New Roman"/>
                <w:szCs w:val="21"/>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3</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高锰酸钾消耗量</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31604.2</w:t>
            </w:r>
            <w:r>
              <w:rPr>
                <w:rFonts w:hint="default" w:ascii="Times New Roman" w:hAnsi="Times New Roman" w:cs="Times New Roman"/>
                <w:szCs w:val="21"/>
                <w:lang w:eastAsia="zh-CN"/>
              </w:rPr>
              <w:t>—</w:t>
            </w:r>
            <w:r>
              <w:rPr>
                <w:rFonts w:hint="default" w:ascii="Times New Roman" w:hAnsi="Times New Roman" w:cs="Times New Roman"/>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4</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重金属（以Pb计）</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31604.9</w:t>
            </w:r>
            <w:r>
              <w:rPr>
                <w:rFonts w:hint="default" w:ascii="Times New Roman" w:hAnsi="Times New Roman" w:cs="Times New Roman"/>
                <w:szCs w:val="21"/>
                <w:lang w:eastAsia="zh-CN"/>
              </w:rPr>
              <w:t>—</w:t>
            </w:r>
            <w:r>
              <w:rPr>
                <w:rFonts w:hint="default" w:ascii="Times New Roman" w:hAnsi="Times New Roman" w:cs="Times New Roman"/>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5</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脱色试验</w:t>
            </w:r>
            <w:r>
              <w:rPr>
                <w:rFonts w:hint="default" w:ascii="Times New Roman" w:hAnsi="Times New Roman" w:cs="Times New Roman"/>
                <w:szCs w:val="21"/>
                <w:lang w:val="pt-BR"/>
              </w:rPr>
              <w:t>（</w:t>
            </w:r>
            <w:r>
              <w:rPr>
                <w:rFonts w:hint="default" w:ascii="Times New Roman" w:hAnsi="Times New Roman" w:cs="Times New Roman"/>
                <w:szCs w:val="21"/>
              </w:rPr>
              <w:t>限添加了着色剂的产品</w:t>
            </w:r>
            <w:r>
              <w:rPr>
                <w:rFonts w:hint="default" w:ascii="Times New Roman" w:hAnsi="Times New Roman" w:cs="Times New Roman"/>
                <w:szCs w:val="21"/>
                <w:lang w:val="pt-BR"/>
              </w:rPr>
              <w:t>）</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6</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特定迁移总量（以己内酰胺计）（限PA材质）</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 xml:space="preserve">GB 31604.19—2016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7</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氯乙烯特定迁移量（限PVC材质）</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31604.31—20</w:t>
            </w:r>
            <w:r>
              <w:rPr>
                <w:rFonts w:hint="eastAsia" w:ascii="Times New Roman" w:hAnsi="Times New Roman" w:cs="Times New Roman"/>
                <w:szCs w:val="21"/>
                <w:lang w:val="en-US" w:eastAsia="zh-CN"/>
              </w:rPr>
              <w:t>25</w:t>
            </w:r>
            <w:r>
              <w:rPr>
                <w:rFonts w:hint="default" w:ascii="Times New Roman" w:hAnsi="Times New Roman"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8</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特定迁移总量（以对苯二甲酸计）（限PET材质）</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31604.21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9</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特定迁移总量（以乙二醇计）（限PET材质）</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31604.44</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0</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1,3</w:t>
            </w:r>
            <w:r>
              <w:rPr>
                <w:rFonts w:hint="default" w:ascii="Times New Roman" w:hAnsi="Times New Roman" w:cs="Times New Roman"/>
                <w:szCs w:val="21"/>
                <w:lang w:eastAsia="zh-CN"/>
              </w:rPr>
              <w:t>—</w:t>
            </w:r>
            <w:r>
              <w:rPr>
                <w:rFonts w:hint="default" w:ascii="Times New Roman" w:hAnsi="Times New Roman" w:cs="Times New Roman"/>
                <w:szCs w:val="21"/>
              </w:rPr>
              <w:t>丁二烯特定迁移量（限有丁二烯单体的聚合物）</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31604.12</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1</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苯乙烯和乙苯残留量（限PS材质)</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31604.16</w:t>
            </w:r>
            <w:r>
              <w:rPr>
                <w:rFonts w:hint="default" w:ascii="Times New Roman" w:hAnsi="Times New Roman" w:cs="Times New Roman"/>
                <w:szCs w:val="21"/>
                <w:lang w:eastAsia="zh-CN"/>
              </w:rPr>
              <w:t>—</w:t>
            </w:r>
            <w:r>
              <w:rPr>
                <w:rFonts w:hint="default" w:ascii="Times New Roman" w:hAnsi="Times New Roman" w:cs="Times New Roman"/>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2</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邻苯类增塑剂特定迁移量（限PVC材质）</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31604.30</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eastAsia="zh-CN"/>
              </w:rPr>
            </w:pPr>
            <w:r>
              <w:rPr>
                <w:rFonts w:hint="default" w:ascii="Times New Roman" w:hAnsi="Times New Roman" w:cs="Times New Roman"/>
                <w:szCs w:val="21"/>
              </w:rPr>
              <w:t>1</w:t>
            </w:r>
            <w:r>
              <w:rPr>
                <w:rFonts w:hint="default" w:ascii="Times New Roman" w:hAnsi="Times New Roman" w:cs="Times New Roman"/>
                <w:szCs w:val="21"/>
                <w:lang w:val="en-US" w:eastAsia="zh-CN"/>
              </w:rPr>
              <w:t>3</w:t>
            </w:r>
          </w:p>
        </w:tc>
        <w:tc>
          <w:tcPr>
            <w:tcW w:w="2610"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芳香族伯胺迁移总量</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密封试验</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BB/T 0013-2011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跌落强度</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BB/T 0013-2011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耐压缩强度</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BB/T 0013-2011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密封性能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 xml:space="preserve">QB/T 2818-2006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跌落性能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QB/T 2818-2006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应力开裂</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QB/T 2818-2006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密封性能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 xml:space="preserve">QB/T </w:t>
            </w:r>
            <w:r>
              <w:rPr>
                <w:rFonts w:hint="eastAsia" w:ascii="Times New Roman" w:hAnsi="Times New Roman" w:cs="Times New Roman"/>
                <w:szCs w:val="21"/>
              </w:rPr>
              <w:t>4</w:t>
            </w:r>
            <w:r>
              <w:rPr>
                <w:rFonts w:hint="default" w:ascii="Times New Roman" w:hAnsi="Times New Roman" w:cs="Times New Roman"/>
                <w:szCs w:val="21"/>
              </w:rPr>
              <w:t>049-2010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跌落性能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 xml:space="preserve">QB/T </w:t>
            </w:r>
            <w:r>
              <w:rPr>
                <w:rFonts w:hint="eastAsia" w:ascii="Times New Roman" w:hAnsi="Times New Roman" w:cs="Times New Roman"/>
                <w:szCs w:val="21"/>
              </w:rPr>
              <w:t>4</w:t>
            </w:r>
            <w:r>
              <w:rPr>
                <w:rFonts w:hint="default" w:ascii="Times New Roman" w:hAnsi="Times New Roman" w:cs="Times New Roman"/>
                <w:szCs w:val="21"/>
              </w:rPr>
              <w:t>049-2010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耐低温性能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 xml:space="preserve">QB/T </w:t>
            </w:r>
            <w:r>
              <w:rPr>
                <w:rFonts w:hint="eastAsia" w:ascii="Times New Roman" w:hAnsi="Times New Roman" w:cs="Times New Roman"/>
                <w:szCs w:val="21"/>
              </w:rPr>
              <w:t>4</w:t>
            </w:r>
            <w:r>
              <w:rPr>
                <w:rFonts w:hint="default" w:ascii="Times New Roman" w:hAnsi="Times New Roman" w:cs="Times New Roman"/>
                <w:szCs w:val="21"/>
              </w:rPr>
              <w:t>049-2010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耐热性能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 xml:space="preserve">QB/T </w:t>
            </w:r>
            <w:r>
              <w:rPr>
                <w:rFonts w:hint="eastAsia" w:ascii="Times New Roman" w:hAnsi="Times New Roman" w:cs="Times New Roman"/>
                <w:szCs w:val="21"/>
              </w:rPr>
              <w:t>4</w:t>
            </w:r>
            <w:r>
              <w:rPr>
                <w:rFonts w:hint="default" w:ascii="Times New Roman" w:hAnsi="Times New Roman" w:cs="Times New Roman"/>
                <w:szCs w:val="21"/>
              </w:rPr>
              <w:t>049-2010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稳定性</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 xml:space="preserve">QB/T </w:t>
            </w:r>
            <w:r>
              <w:rPr>
                <w:rFonts w:hint="eastAsia" w:ascii="Times New Roman" w:hAnsi="Times New Roman" w:cs="Times New Roman"/>
                <w:szCs w:val="21"/>
              </w:rPr>
              <w:t>4</w:t>
            </w:r>
            <w:r>
              <w:rPr>
                <w:rFonts w:hint="default" w:ascii="Times New Roman" w:hAnsi="Times New Roman" w:cs="Times New Roman"/>
                <w:szCs w:val="21"/>
              </w:rPr>
              <w:t>049-2010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使用性能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default" w:ascii="Times New Roman" w:hAnsi="Times New Roman" w:cs="Times New Roman"/>
                <w:szCs w:val="21"/>
              </w:rPr>
              <w:t xml:space="preserve">QB/T </w:t>
            </w:r>
            <w:r>
              <w:rPr>
                <w:rFonts w:hint="eastAsia" w:ascii="Times New Roman" w:hAnsi="Times New Roman" w:cs="Times New Roman"/>
                <w:szCs w:val="21"/>
              </w:rPr>
              <w:t>4</w:t>
            </w:r>
            <w:r>
              <w:rPr>
                <w:rFonts w:hint="default" w:ascii="Times New Roman" w:hAnsi="Times New Roman" w:cs="Times New Roman"/>
                <w:szCs w:val="21"/>
              </w:rPr>
              <w:t>049-2010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26</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耐酸碱性</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27</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耐污染性</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28</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耐洗涤剂性能</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29</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耐温性</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30</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密闭性</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31</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真空保鲜盒的真空度</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32</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真空保鲜盒真空度的保持时间</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33</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盒盖开合性能</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GB/T 32094-2015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34</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密封性能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35</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热稳定性能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36</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跌落性能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37</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耐冲击性能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38</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开启扭矩性能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39</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防盗环（条）物理性能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40</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溢脂性能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41</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安全开启性能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GB/T 17876-2010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42</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耐低温性能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 xml:space="preserve">BB/T 0048-2017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43</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耐高温性能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BB/T 0048-2017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44</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密封性能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 xml:space="preserve">BB/T 0048-2017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45</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开启性能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BB/T 0048-2017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46</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流出性能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BB/T 0048-2017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47</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rPr>
              <w:t>防逆灌性能</w:t>
            </w:r>
          </w:p>
        </w:tc>
        <w:tc>
          <w:tcPr>
            <w:tcW w:w="1738"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rPr>
              <w:t>BB/T 0048-2017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6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48</w:t>
            </w:r>
          </w:p>
        </w:tc>
        <w:tc>
          <w:tcPr>
            <w:tcW w:w="2610" w:type="pct"/>
            <w:shd w:val="clear" w:color="auto" w:fill="auto"/>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乙醛</w:t>
            </w:r>
          </w:p>
        </w:tc>
        <w:tc>
          <w:tcPr>
            <w:tcW w:w="173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szCs w:val="21"/>
              </w:rPr>
              <w:t>BB/T 0060-2012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9" w:hRule="exact"/>
          <w:jc w:val="center"/>
        </w:trPr>
        <w:tc>
          <w:tcPr>
            <w:tcW w:w="5000" w:type="pct"/>
            <w:gridSpan w:val="3"/>
            <w:noWrap w:val="0"/>
            <w:vAlign w:val="center"/>
          </w:tcPr>
          <w:p>
            <w:pPr>
              <w:keepNext w:val="0"/>
              <w:keepLines w:val="0"/>
              <w:suppressLineNumbers w:val="0"/>
              <w:adjustRightInd w:val="0"/>
              <w:snapToGrid w:val="0"/>
              <w:spacing w:before="0" w:beforeAutospacing="0" w:after="0" w:afterAutospacing="0"/>
              <w:ind w:left="0" w:right="0"/>
              <w:jc w:val="left"/>
              <w:rPr>
                <w:rFonts w:hint="default" w:ascii="Times New Roman" w:hAnsi="Times New Roman" w:cs="Times New Roman"/>
                <w:color w:val="000000"/>
              </w:rPr>
            </w:pPr>
            <w:r>
              <w:rPr>
                <w:rFonts w:hint="default" w:ascii="Times New Roman" w:hAnsi="Times New Roman" w:cs="Times New Roman"/>
                <w:color w:val="000000"/>
              </w:rPr>
              <w:t>注：1.高锰酸钾消耗量不适用于执行标准为GB 4806.7</w:t>
            </w:r>
            <w:r>
              <w:rPr>
                <w:rFonts w:hint="default" w:ascii="Times New Roman" w:hAnsi="Times New Roman" w:cs="Times New Roman"/>
                <w:szCs w:val="21"/>
              </w:rPr>
              <w:t>—</w:t>
            </w:r>
            <w:r>
              <w:rPr>
                <w:rFonts w:hint="default" w:ascii="Times New Roman" w:hAnsi="Times New Roman" w:cs="Times New Roman"/>
                <w:color w:val="000000"/>
              </w:rPr>
              <w:t>2023中的淀粉含量≥40%的淀粉基塑料材料及制品。</w:t>
            </w:r>
          </w:p>
          <w:p>
            <w:pPr>
              <w:keepNext w:val="0"/>
              <w:keepLines w:val="0"/>
              <w:suppressLineNumbers w:val="0"/>
              <w:adjustRightInd w:val="0"/>
              <w:snapToGrid w:val="0"/>
              <w:spacing w:before="0" w:beforeAutospacing="0" w:after="0" w:afterAutospacing="0"/>
              <w:ind w:left="0" w:right="0" w:firstLine="420" w:firstLineChars="200"/>
              <w:jc w:val="left"/>
              <w:rPr>
                <w:rFonts w:hint="default" w:ascii="Times New Roman" w:hAnsi="Times New Roman" w:cs="Times New Roman"/>
                <w:color w:val="000000"/>
              </w:rPr>
            </w:pPr>
            <w:r>
              <w:rPr>
                <w:rFonts w:hint="default" w:ascii="Times New Roman" w:hAnsi="Times New Roman" w:cs="Times New Roman"/>
                <w:color w:val="000000"/>
                <w:szCs w:val="21"/>
              </w:rPr>
              <w:t>2.</w:t>
            </w:r>
            <w:r>
              <w:rPr>
                <w:rFonts w:hint="default" w:ascii="Times New Roman" w:hAnsi="Times New Roman" w:cs="Times New Roman"/>
                <w:color w:val="000000"/>
              </w:rPr>
              <w:t>芳香族伯胺迁移总量适用于执行标准为GB 4806.7</w:t>
            </w:r>
            <w:r>
              <w:rPr>
                <w:rFonts w:hint="default" w:ascii="Times New Roman" w:hAnsi="Times New Roman" w:cs="Times New Roman"/>
                <w:szCs w:val="21"/>
              </w:rPr>
              <w:t>—</w:t>
            </w:r>
            <w:r>
              <w:rPr>
                <w:rFonts w:hint="default" w:ascii="Times New Roman" w:hAnsi="Times New Roman" w:cs="Times New Roman"/>
                <w:color w:val="000000"/>
              </w:rPr>
              <w:t>2023，且含有芳香族异氰酸酯和偶氮类着色剂等可能产生芳香族伯胺类物质的产品。</w:t>
            </w:r>
          </w:p>
          <w:p>
            <w:pPr>
              <w:keepNext w:val="0"/>
              <w:keepLines w:val="0"/>
              <w:suppressLineNumbers w:val="0"/>
              <w:adjustRightInd w:val="0"/>
              <w:snapToGrid w:val="0"/>
              <w:spacing w:before="0" w:beforeAutospacing="0" w:after="0" w:afterAutospacing="0"/>
              <w:ind w:left="0" w:right="0" w:firstLine="420" w:firstLineChars="200"/>
              <w:jc w:val="both"/>
              <w:rPr>
                <w:rFonts w:hint="default" w:ascii="Times New Roman" w:hAnsi="Times New Roman" w:cs="Times New Roman"/>
                <w:color w:val="000000"/>
              </w:rPr>
            </w:pPr>
            <w:r>
              <w:rPr>
                <w:rFonts w:hint="default" w:ascii="Times New Roman" w:hAnsi="Times New Roman" w:cs="Times New Roman"/>
                <w:color w:val="000000"/>
              </w:rPr>
              <w:t>3.脱色试验仅适用于添加了着色剂的产品。</w:t>
            </w:r>
          </w:p>
          <w:p>
            <w:pPr>
              <w:keepNext w:val="0"/>
              <w:keepLines w:val="0"/>
              <w:suppressLineNumbers w:val="0"/>
              <w:adjustRightInd w:val="0"/>
              <w:snapToGrid w:val="0"/>
              <w:spacing w:before="0" w:beforeAutospacing="0" w:after="0" w:afterAutospacing="0"/>
              <w:ind w:left="0" w:right="0" w:firstLine="420" w:firstLineChars="200"/>
              <w:jc w:val="both"/>
              <w:rPr>
                <w:rFonts w:hint="eastAsia"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4.14~16项仅适用于</w:t>
            </w:r>
            <w:r>
              <w:rPr>
                <w:rFonts w:hint="eastAsia" w:ascii="Times New Roman" w:hAnsi="Times New Roman" w:cs="宋体"/>
                <w:color w:val="000000"/>
              </w:rPr>
              <w:t>软塑折叠包装容器</w:t>
            </w:r>
            <w:r>
              <w:rPr>
                <w:rFonts w:hint="eastAsia" w:ascii="Times New Roman" w:hAnsi="Times New Roman" w:cs="宋体"/>
                <w:color w:val="000000"/>
                <w:lang w:eastAsia="zh-CN"/>
              </w:rPr>
              <w:t>；</w:t>
            </w:r>
            <w:r>
              <w:rPr>
                <w:rFonts w:hint="eastAsia" w:ascii="Times New Roman" w:hAnsi="Times New Roman" w:cs="宋体"/>
                <w:color w:val="000000"/>
                <w:lang w:val="en-US" w:eastAsia="zh-CN"/>
              </w:rPr>
              <w:t>17~19项</w:t>
            </w:r>
            <w:r>
              <w:rPr>
                <w:rFonts w:hint="eastAsia" w:ascii="Times New Roman" w:hAnsi="Times New Roman" w:cs="Times New Roman"/>
                <w:color w:val="000000"/>
                <w:lang w:val="en-US" w:eastAsia="zh-CN"/>
              </w:rPr>
              <w:t>仅适用于</w:t>
            </w:r>
            <w:r>
              <w:rPr>
                <w:rFonts w:hint="eastAsia" w:ascii="Times New Roman" w:hAnsi="Times New Roman" w:cs="宋体"/>
                <w:color w:val="000000"/>
              </w:rPr>
              <w:t>聚烯烃注塑包装桶</w:t>
            </w:r>
            <w:r>
              <w:rPr>
                <w:rFonts w:hint="eastAsia" w:ascii="Times New Roman" w:hAnsi="Times New Roman" w:cs="宋体"/>
                <w:color w:val="000000"/>
                <w:lang w:eastAsia="zh-CN"/>
              </w:rPr>
              <w:t>；</w:t>
            </w:r>
            <w:r>
              <w:rPr>
                <w:rFonts w:hint="eastAsia" w:ascii="Times New Roman" w:hAnsi="Times New Roman" w:cs="宋体"/>
                <w:color w:val="000000"/>
                <w:lang w:val="en-US" w:eastAsia="zh-CN"/>
              </w:rPr>
              <w:t>20~25项</w:t>
            </w:r>
            <w:r>
              <w:rPr>
                <w:rFonts w:hint="eastAsia" w:ascii="Times New Roman" w:hAnsi="Times New Roman" w:cs="Times New Roman"/>
                <w:color w:val="000000"/>
                <w:lang w:val="en-US" w:eastAsia="zh-CN"/>
              </w:rPr>
              <w:t>仅适用于</w:t>
            </w:r>
            <w:r>
              <w:rPr>
                <w:rFonts w:hint="eastAsia" w:ascii="Times New Roman" w:hAnsi="Times New Roman" w:cs="宋体"/>
                <w:color w:val="000000"/>
              </w:rPr>
              <w:t>塑料饮水口杯</w:t>
            </w:r>
            <w:r>
              <w:rPr>
                <w:rFonts w:hint="eastAsia" w:ascii="Times New Roman" w:hAnsi="Times New Roman" w:cs="宋体"/>
                <w:color w:val="000000"/>
                <w:lang w:eastAsia="zh-CN"/>
              </w:rPr>
              <w:t>；</w:t>
            </w:r>
            <w:r>
              <w:rPr>
                <w:rFonts w:hint="eastAsia" w:ascii="Times New Roman" w:hAnsi="Times New Roman" w:cs="宋体"/>
                <w:color w:val="000000"/>
                <w:lang w:val="en-US" w:eastAsia="zh-CN"/>
              </w:rPr>
              <w:t>31~41仅适用于</w:t>
            </w:r>
            <w:r>
              <w:rPr>
                <w:rFonts w:hint="eastAsia" w:ascii="Times New Roman" w:hAnsi="Times New Roman" w:cs="宋体"/>
                <w:color w:val="000000"/>
              </w:rPr>
              <w:t>塑料防盗瓶盖</w:t>
            </w:r>
            <w:r>
              <w:rPr>
                <w:rFonts w:hint="eastAsia" w:ascii="Times New Roman" w:hAnsi="Times New Roman" w:cs="宋体"/>
                <w:color w:val="000000"/>
                <w:lang w:eastAsia="zh-CN"/>
              </w:rPr>
              <w:t>；</w:t>
            </w:r>
            <w:r>
              <w:rPr>
                <w:rFonts w:hint="eastAsia" w:ascii="Times New Roman" w:hAnsi="Times New Roman" w:cs="宋体"/>
                <w:color w:val="000000"/>
                <w:lang w:val="en-US" w:eastAsia="zh-CN"/>
              </w:rPr>
              <w:t>42~47仅适用于</w:t>
            </w:r>
            <w:r>
              <w:rPr>
                <w:rFonts w:hint="eastAsia" w:ascii="Times New Roman" w:hAnsi="Times New Roman" w:cs="宋体"/>
                <w:color w:val="000000"/>
              </w:rPr>
              <w:t>组合式防伪瓶盖</w:t>
            </w:r>
            <w:r>
              <w:rPr>
                <w:rFonts w:hint="eastAsia" w:ascii="Times New Roman" w:hAnsi="Times New Roman" w:cs="宋体"/>
                <w:color w:val="000000"/>
                <w:lang w:eastAsia="zh-CN"/>
              </w:rPr>
              <w:t>；</w:t>
            </w:r>
            <w:r>
              <w:rPr>
                <w:rFonts w:hint="eastAsia" w:ascii="Times New Roman" w:hAnsi="Times New Roman" w:cs="宋体"/>
                <w:color w:val="000000"/>
                <w:lang w:val="en-US" w:eastAsia="zh-CN"/>
              </w:rPr>
              <w:t>48项仅适用于</w:t>
            </w:r>
            <w:r>
              <w:rPr>
                <w:rFonts w:hint="eastAsia" w:ascii="Times New Roman" w:hAnsi="Times New Roman" w:cs="宋体"/>
                <w:color w:val="000000"/>
              </w:rPr>
              <w:t>聚对苯二甲酸乙二醇酯（</w:t>
            </w:r>
            <w:r>
              <w:rPr>
                <w:rFonts w:hint="default" w:ascii="Times New Roman" w:hAnsi="Times New Roman" w:cs="Times New Roman"/>
                <w:color w:val="000000"/>
              </w:rPr>
              <w:t>PET</w:t>
            </w:r>
            <w:r>
              <w:rPr>
                <w:rFonts w:hint="eastAsia" w:ascii="Times New Roman" w:hAnsi="Times New Roman" w:cs="宋体"/>
                <w:color w:val="000000"/>
              </w:rPr>
              <w:t>）瓶坯</w:t>
            </w:r>
            <w:r>
              <w:rPr>
                <w:rFonts w:hint="eastAsia" w:ascii="Times New Roman" w:hAnsi="Times New Roman" w:cs="宋体"/>
                <w:color w:val="000000"/>
                <w:lang w:eastAsia="zh-CN"/>
              </w:rPr>
              <w:t>。</w:t>
            </w:r>
          </w:p>
        </w:tc>
      </w:tr>
    </w:tbl>
    <w:p>
      <w:pPr>
        <w:adjustRightInd w:val="0"/>
        <w:snapToGrid w:val="0"/>
        <w:ind w:firstLine="2100" w:firstLineChars="1000"/>
        <w:jc w:val="both"/>
        <w:rPr>
          <w:rFonts w:hint="eastAsia" w:ascii="Times New Roman" w:hAnsi="Times New Roman" w:cs="Times New Roman"/>
          <w:szCs w:val="21"/>
          <w:lang w:val="en-US" w:eastAsia="zh-CN"/>
        </w:rPr>
      </w:pPr>
    </w:p>
    <w:p>
      <w:pPr>
        <w:adjustRightInd w:val="0"/>
        <w:snapToGrid w:val="0"/>
        <w:jc w:val="both"/>
        <w:rPr>
          <w:rFonts w:hint="eastAsia" w:ascii="Times New Roman" w:hAnsi="Times New Roman" w:cs="Times New Roman"/>
          <w:b/>
          <w:bCs/>
          <w:szCs w:val="21"/>
          <w:lang w:val="en-US" w:eastAsia="zh-CN"/>
        </w:rPr>
      </w:pPr>
      <w:r>
        <w:rPr>
          <w:rFonts w:hint="eastAsia" w:ascii="Times New Roman" w:hAnsi="Times New Roman" w:cs="Times New Roman"/>
          <w:b/>
          <w:bCs/>
          <w:szCs w:val="21"/>
          <w:lang w:val="en-US" w:eastAsia="zh-CN"/>
        </w:rPr>
        <w:t>注：表1~表4适用于在流通领域抽检的样品，表5适用于在生产领域抽检的样品。</w:t>
      </w:r>
    </w:p>
    <w:p>
      <w:pPr>
        <w:adjustRightInd w:val="0"/>
        <w:snapToGrid w:val="0"/>
        <w:jc w:val="both"/>
        <w:rPr>
          <w:rFonts w:hint="default" w:ascii="Times New Roman" w:hAnsi="Times New Roman" w:cs="Times New Roman"/>
          <w:szCs w:val="21"/>
          <w:lang w:val="en-US" w:eastAsia="zh-CN"/>
        </w:rPr>
      </w:pPr>
    </w:p>
    <w:p>
      <w:pPr>
        <w:adjustRightInd w:val="0"/>
        <w:snapToGrid w:val="0"/>
        <w:spacing w:line="440" w:lineRule="exact"/>
        <w:ind w:firstLine="420" w:firstLineChars="200"/>
        <w:rPr>
          <w:rFonts w:hint="default" w:ascii="Times New Roman" w:hAnsi="Times New Roman" w:cs="Times New Roman"/>
          <w:color w:val="000000"/>
          <w:szCs w:val="21"/>
        </w:rPr>
      </w:pPr>
      <w:bookmarkStart w:id="0" w:name="_Hlk40347690"/>
      <w:r>
        <w:rPr>
          <w:rFonts w:hint="default" w:ascii="Times New Roman" w:hAnsi="Times New Roman" w:cs="Times New Roman"/>
          <w:color w:val="000000"/>
          <w:szCs w:val="21"/>
        </w:rPr>
        <w:t>执行企业标准、团体标准、地方标准的产品，检验项目参照上述内容执行。</w:t>
      </w:r>
    </w:p>
    <w:bookmarkEnd w:id="0"/>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hint="default" w:ascii="Times New Roman" w:hAnsi="Times New Roman" w:eastAsia="黑体" w:cs="Times New Roman"/>
          <w:szCs w:val="21"/>
        </w:rPr>
      </w:pPr>
    </w:p>
    <w:p>
      <w:pPr>
        <w:adjustRightInd w:val="0"/>
        <w:snapToGrid w:val="0"/>
        <w:spacing w:line="440" w:lineRule="exact"/>
        <w:outlineLvl w:val="1"/>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pPr>
        <w:adjustRightInd w:val="0"/>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3.1依据标准</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4806.7</w:t>
      </w:r>
      <w:r>
        <w:rPr>
          <w:rFonts w:hint="default" w:ascii="Times New Roman" w:hAnsi="Times New Roman" w:cs="Times New Roman"/>
          <w:szCs w:val="21"/>
          <w:lang w:eastAsia="zh-CN"/>
        </w:rPr>
        <w:t>—</w:t>
      </w:r>
      <w:r>
        <w:rPr>
          <w:rFonts w:hint="default" w:ascii="Times New Roman" w:hAnsi="Times New Roman" w:cs="Times New Roman"/>
          <w:szCs w:val="21"/>
        </w:rPr>
        <w:t>2023食品安全国家标准 食品接触用塑料材料及制品</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BB/T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0060</w:t>
      </w:r>
      <w:r>
        <w:rPr>
          <w:rFonts w:hint="default" w:ascii="Times New Roman" w:hAnsi="Times New Roman" w:cs="Times New Roman"/>
          <w:szCs w:val="21"/>
          <w:lang w:eastAsia="zh-CN"/>
        </w:rPr>
        <w:t>—</w:t>
      </w:r>
      <w:r>
        <w:rPr>
          <w:rFonts w:hint="default" w:ascii="Times New Roman" w:hAnsi="Times New Roman" w:cs="Times New Roman"/>
          <w:szCs w:val="21"/>
        </w:rPr>
        <w:t>2012包装容器 聚对苯二甲酸乙二醇酯（PET）瓶坯</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BB/T</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0060</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r>
        <w:rPr>
          <w:rFonts w:hint="default" w:ascii="Times New Roman" w:hAnsi="Times New Roman" w:cs="Times New Roman"/>
          <w:szCs w:val="21"/>
        </w:rPr>
        <w:t>包装容器 聚对苯二甲酸乙二醇酯（PET）瓶坯</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17876</w:t>
      </w:r>
      <w:r>
        <w:rPr>
          <w:rFonts w:hint="default" w:ascii="Times New Roman" w:hAnsi="Times New Roman" w:cs="Times New Roman"/>
          <w:szCs w:val="21"/>
          <w:lang w:eastAsia="zh-CN"/>
        </w:rPr>
        <w:t>—</w:t>
      </w:r>
      <w:r>
        <w:rPr>
          <w:rFonts w:hint="default" w:ascii="Times New Roman" w:hAnsi="Times New Roman" w:cs="Times New Roman"/>
          <w:szCs w:val="21"/>
        </w:rPr>
        <w:t>2010 包装容器 塑料防盗瓶盖</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15267</w:t>
      </w:r>
      <w:r>
        <w:rPr>
          <w:rFonts w:hint="default" w:ascii="Times New Roman" w:hAnsi="Times New Roman" w:cs="Times New Roman"/>
          <w:szCs w:val="21"/>
          <w:lang w:eastAsia="zh-CN"/>
        </w:rPr>
        <w:t>—</w:t>
      </w:r>
      <w:r>
        <w:rPr>
          <w:rFonts w:hint="default" w:ascii="Times New Roman" w:hAnsi="Times New Roman" w:cs="Times New Roman"/>
          <w:szCs w:val="21"/>
        </w:rPr>
        <w:t>1994食品包装用聚氯乙烯硬片、膜</w:t>
      </w:r>
    </w:p>
    <w:p>
      <w:pPr>
        <w:adjustRightInd w:val="0"/>
        <w:snapToGrid w:val="0"/>
        <w:spacing w:line="440" w:lineRule="exact"/>
        <w:ind w:firstLine="420" w:firstLineChars="20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GB/T 41000—2021 聚碳酸酯（PC）饮用水罐质量通则</w:t>
      </w:r>
    </w:p>
    <w:p>
      <w:pPr>
        <w:adjustRightInd w:val="0"/>
        <w:snapToGrid w:val="0"/>
        <w:spacing w:line="440" w:lineRule="exact"/>
        <w:ind w:firstLine="420" w:firstLineChars="20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GB/T 41167—2021 聚对苯二甲酸乙二醇酯（PET）饮品瓶通用技术要求</w:t>
      </w:r>
    </w:p>
    <w:p>
      <w:pPr>
        <w:adjustRightInd w:val="0"/>
        <w:snapToGrid w:val="0"/>
        <w:spacing w:line="440" w:lineRule="exact"/>
        <w:ind w:firstLine="420" w:firstLineChars="200"/>
        <w:rPr>
          <w:rFonts w:hint="eastAsia" w:ascii="Times New Roman" w:hAnsi="Times New Roman" w:eastAsia="宋体" w:cs="Times New Roman"/>
          <w:color w:val="000000"/>
          <w:lang w:val="en-US" w:eastAsia="zh-CN"/>
        </w:rPr>
      </w:pPr>
      <w:r>
        <w:rPr>
          <w:rFonts w:ascii="Times New Roman" w:hAnsi="Times New Roman" w:cs="Times New Roman"/>
          <w:color w:val="000000"/>
        </w:rPr>
        <w:t>BB/T 0048</w:t>
      </w:r>
      <w:r>
        <w:rPr>
          <w:rFonts w:hint="default" w:ascii="Times New Roman" w:hAnsi="Times New Roman" w:cs="Times New Roman"/>
          <w:szCs w:val="21"/>
          <w:lang w:val="en-US" w:eastAsia="zh-CN"/>
        </w:rPr>
        <w:t>—</w:t>
      </w:r>
      <w:r>
        <w:rPr>
          <w:rFonts w:ascii="Times New Roman" w:hAnsi="Times New Roman" w:cs="Times New Roman"/>
          <w:color w:val="000000"/>
        </w:rPr>
        <w:t>20</w:t>
      </w:r>
      <w:r>
        <w:rPr>
          <w:rFonts w:hint="eastAsia" w:ascii="Times New Roman" w:hAnsi="Times New Roman" w:cs="Times New Roman"/>
          <w:color w:val="000000"/>
        </w:rPr>
        <w:t>1</w:t>
      </w:r>
      <w:r>
        <w:rPr>
          <w:rFonts w:ascii="Times New Roman" w:hAnsi="Times New Roman" w:cs="Times New Roman"/>
          <w:color w:val="000000"/>
        </w:rPr>
        <w:t xml:space="preserve">7 </w:t>
      </w:r>
      <w:r>
        <w:rPr>
          <w:rFonts w:hint="eastAsia" w:ascii="Times New Roman" w:hAnsi="Times New Roman" w:cs="宋体"/>
          <w:color w:val="000000"/>
        </w:rPr>
        <w:t>组合式防伪瓶盖</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adjustRightInd w:val="0"/>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pacing w:line="440" w:lineRule="exact"/>
        <w:rPr>
          <w:rFonts w:hint="default" w:ascii="Times New Roman" w:hAnsi="Times New Roman" w:eastAsia="黑体" w:cs="Times New Roman"/>
          <w:color w:val="000000"/>
          <w:szCs w:val="21"/>
        </w:rPr>
      </w:pPr>
    </w:p>
    <w:p>
      <w:pPr>
        <w:spacing w:line="440" w:lineRule="exact"/>
        <w:rPr>
          <w:rFonts w:hint="default" w:ascii="Times New Roman" w:hAnsi="Times New Roman" w:eastAsia="黑体" w:cs="Times New Roman"/>
          <w:color w:val="000000"/>
          <w:szCs w:val="21"/>
        </w:rPr>
      </w:pPr>
      <w:r>
        <w:rPr>
          <w:rFonts w:hint="default" w:ascii="Times New Roman" w:hAnsi="Times New Roman" w:eastAsia="黑体" w:cs="Times New Roman"/>
          <w:color w:val="000000"/>
          <w:szCs w:val="21"/>
        </w:rPr>
        <w:t>4 附则</w:t>
      </w:r>
    </w:p>
    <w:p>
      <w:pPr>
        <w:keepNext w:val="0"/>
        <w:keepLines w:val="0"/>
        <w:widowControl w:val="0"/>
        <w:suppressLineNumbers w:val="0"/>
        <w:snapToGrid w:val="0"/>
        <w:spacing w:before="0" w:beforeAutospacing="0" w:after="0" w:afterAutospacing="0" w:line="440" w:lineRule="exact"/>
        <w:ind w:left="0" w:right="0" w:firstLine="420" w:firstLineChars="200"/>
        <w:jc w:val="both"/>
        <w:rPr>
          <w:rFonts w:hint="default" w:ascii="Times New Roman" w:hAnsi="Times New Roman" w:cs="Times New Roman"/>
          <w:color w:val="000000"/>
          <w:szCs w:val="21"/>
          <w:lang w:val="en-US"/>
        </w:rPr>
      </w:pPr>
      <w:r>
        <w:rPr>
          <w:rFonts w:hint="default" w:ascii="Times New Roman" w:hAnsi="Times New Roman" w:eastAsia="宋体" w:cs="Times New Roman"/>
          <w:color w:val="000000"/>
          <w:kern w:val="2"/>
          <w:sz w:val="21"/>
          <w:szCs w:val="21"/>
          <w:lang w:val="en-US" w:eastAsia="zh-CN" w:bidi="ar"/>
        </w:rPr>
        <w:t>本细则代替《贵州省市场监管局关于发布2025年焦炭等72种产品贵州省产品质量监督抽查实施细则的通告》中的《贵州省食品接触用塑料容器、工具产品质量监督抽查实施细则（202</w:t>
      </w:r>
      <w:r>
        <w:rPr>
          <w:rFonts w:hint="eastAsia" w:ascii="Times New Roman" w:hAnsi="Times New Roman" w:cs="Times New Roman"/>
          <w:color w:val="000000"/>
          <w:kern w:val="2"/>
          <w:sz w:val="21"/>
          <w:szCs w:val="21"/>
          <w:lang w:val="en-US" w:eastAsia="zh-CN" w:bidi="ar"/>
        </w:rPr>
        <w:t>5</w:t>
      </w:r>
      <w:r>
        <w:rPr>
          <w:rFonts w:hint="default" w:ascii="Times New Roman" w:hAnsi="Times New Roman" w:eastAsia="宋体" w:cs="Times New Roman"/>
          <w:color w:val="000000"/>
          <w:kern w:val="2"/>
          <w:sz w:val="21"/>
          <w:szCs w:val="21"/>
          <w:lang w:val="en-US" w:eastAsia="zh-CN" w:bidi="ar"/>
        </w:rPr>
        <w:t>版）》。</w:t>
      </w:r>
    </w:p>
    <w:p>
      <w:pPr>
        <w:snapToGrid w:val="0"/>
        <w:spacing w:line="440" w:lineRule="exact"/>
        <w:ind w:firstLine="417" w:firstLineChars="199"/>
        <w:rPr>
          <w:rFonts w:hint="default" w:ascii="Times New Roman" w:hAnsi="Times New Roman" w:cs="Times New Roman"/>
          <w:color w:val="000000"/>
          <w:szCs w:val="21"/>
        </w:rPr>
      </w:pPr>
    </w:p>
    <w:p>
      <w:pPr>
        <w:snapToGrid w:val="0"/>
        <w:spacing w:line="440" w:lineRule="exact"/>
        <w:rPr>
          <w:rFonts w:hint="default" w:ascii="Times New Roman" w:hAnsi="Times New Roman" w:cs="Times New Roman"/>
          <w:color w:val="000000"/>
          <w:szCs w:val="21"/>
        </w:rPr>
      </w:pP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5</w:t>
    </w:r>
    <w:r>
      <w:rPr>
        <w:sz w:val="21"/>
        <w:szCs w:val="21"/>
        <w:lang w:val="zh-CN"/>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F45"/>
    <w:rsid w:val="000223BA"/>
    <w:rsid w:val="00026930"/>
    <w:rsid w:val="000429C6"/>
    <w:rsid w:val="00047A9D"/>
    <w:rsid w:val="0005357F"/>
    <w:rsid w:val="00060161"/>
    <w:rsid w:val="0006329C"/>
    <w:rsid w:val="0009706A"/>
    <w:rsid w:val="000C1222"/>
    <w:rsid w:val="000E0E26"/>
    <w:rsid w:val="00111BFA"/>
    <w:rsid w:val="001244A8"/>
    <w:rsid w:val="00126B4B"/>
    <w:rsid w:val="0013492D"/>
    <w:rsid w:val="001458BF"/>
    <w:rsid w:val="00186925"/>
    <w:rsid w:val="001A540C"/>
    <w:rsid w:val="001C16E8"/>
    <w:rsid w:val="001C17C6"/>
    <w:rsid w:val="001D3949"/>
    <w:rsid w:val="001E1669"/>
    <w:rsid w:val="001E1A9D"/>
    <w:rsid w:val="00202846"/>
    <w:rsid w:val="002140E2"/>
    <w:rsid w:val="002368DB"/>
    <w:rsid w:val="002546FF"/>
    <w:rsid w:val="00262E0C"/>
    <w:rsid w:val="00263965"/>
    <w:rsid w:val="00264C87"/>
    <w:rsid w:val="0029348F"/>
    <w:rsid w:val="002961CD"/>
    <w:rsid w:val="002A7133"/>
    <w:rsid w:val="002C2DE3"/>
    <w:rsid w:val="002C3754"/>
    <w:rsid w:val="002E2CD9"/>
    <w:rsid w:val="002E5EED"/>
    <w:rsid w:val="0033027F"/>
    <w:rsid w:val="00336C89"/>
    <w:rsid w:val="00371D49"/>
    <w:rsid w:val="0037397A"/>
    <w:rsid w:val="003A1860"/>
    <w:rsid w:val="003D5388"/>
    <w:rsid w:val="003F7705"/>
    <w:rsid w:val="004064D4"/>
    <w:rsid w:val="00435D97"/>
    <w:rsid w:val="004630F9"/>
    <w:rsid w:val="0048431A"/>
    <w:rsid w:val="004B63D4"/>
    <w:rsid w:val="004D4CD2"/>
    <w:rsid w:val="004E1DAA"/>
    <w:rsid w:val="004E7F45"/>
    <w:rsid w:val="0051209D"/>
    <w:rsid w:val="00515006"/>
    <w:rsid w:val="00532F8D"/>
    <w:rsid w:val="0054077C"/>
    <w:rsid w:val="00571A64"/>
    <w:rsid w:val="005A736C"/>
    <w:rsid w:val="005B4861"/>
    <w:rsid w:val="005E6927"/>
    <w:rsid w:val="00612817"/>
    <w:rsid w:val="006219F8"/>
    <w:rsid w:val="00646A2D"/>
    <w:rsid w:val="00686F7E"/>
    <w:rsid w:val="0068760D"/>
    <w:rsid w:val="00696B51"/>
    <w:rsid w:val="006A36C5"/>
    <w:rsid w:val="006C56E0"/>
    <w:rsid w:val="006D36FD"/>
    <w:rsid w:val="00730874"/>
    <w:rsid w:val="0073765E"/>
    <w:rsid w:val="007819B3"/>
    <w:rsid w:val="00790716"/>
    <w:rsid w:val="007A4F3E"/>
    <w:rsid w:val="007A7686"/>
    <w:rsid w:val="007C48A6"/>
    <w:rsid w:val="00817719"/>
    <w:rsid w:val="0082334C"/>
    <w:rsid w:val="00853661"/>
    <w:rsid w:val="0088588D"/>
    <w:rsid w:val="008C2AA1"/>
    <w:rsid w:val="008C56B1"/>
    <w:rsid w:val="008F0A39"/>
    <w:rsid w:val="00902C4C"/>
    <w:rsid w:val="0091647C"/>
    <w:rsid w:val="00953A9B"/>
    <w:rsid w:val="009D29EA"/>
    <w:rsid w:val="009F2191"/>
    <w:rsid w:val="00A3585C"/>
    <w:rsid w:val="00A54E7A"/>
    <w:rsid w:val="00A61B8F"/>
    <w:rsid w:val="00A77C14"/>
    <w:rsid w:val="00A870ED"/>
    <w:rsid w:val="00A93B7D"/>
    <w:rsid w:val="00A95981"/>
    <w:rsid w:val="00AA31EF"/>
    <w:rsid w:val="00AB38E0"/>
    <w:rsid w:val="00AB4371"/>
    <w:rsid w:val="00AE0D56"/>
    <w:rsid w:val="00AE39A1"/>
    <w:rsid w:val="00AE405C"/>
    <w:rsid w:val="00B24BD0"/>
    <w:rsid w:val="00B44E4C"/>
    <w:rsid w:val="00B456C4"/>
    <w:rsid w:val="00B467A9"/>
    <w:rsid w:val="00B55566"/>
    <w:rsid w:val="00B61C35"/>
    <w:rsid w:val="00B64768"/>
    <w:rsid w:val="00B66A50"/>
    <w:rsid w:val="00B748D1"/>
    <w:rsid w:val="00B83344"/>
    <w:rsid w:val="00B942CB"/>
    <w:rsid w:val="00BA47C3"/>
    <w:rsid w:val="00BA4D5F"/>
    <w:rsid w:val="00BC7A4C"/>
    <w:rsid w:val="00BD7E26"/>
    <w:rsid w:val="00C25CB5"/>
    <w:rsid w:val="00C4745B"/>
    <w:rsid w:val="00C721EC"/>
    <w:rsid w:val="00CC157E"/>
    <w:rsid w:val="00CE702D"/>
    <w:rsid w:val="00D11614"/>
    <w:rsid w:val="00D449C5"/>
    <w:rsid w:val="00D541C8"/>
    <w:rsid w:val="00D92B63"/>
    <w:rsid w:val="00D94CD8"/>
    <w:rsid w:val="00DA52B0"/>
    <w:rsid w:val="00DD5C9E"/>
    <w:rsid w:val="00DF4DCE"/>
    <w:rsid w:val="00E22A88"/>
    <w:rsid w:val="00E94059"/>
    <w:rsid w:val="00EB1B49"/>
    <w:rsid w:val="00EB3B67"/>
    <w:rsid w:val="00EE1F87"/>
    <w:rsid w:val="00EE5043"/>
    <w:rsid w:val="00EF25F0"/>
    <w:rsid w:val="00F301F8"/>
    <w:rsid w:val="00F45797"/>
    <w:rsid w:val="00F61F2C"/>
    <w:rsid w:val="00F76949"/>
    <w:rsid w:val="00F85554"/>
    <w:rsid w:val="00F94DCB"/>
    <w:rsid w:val="00FB5782"/>
    <w:rsid w:val="00FC2526"/>
    <w:rsid w:val="00FE5DE4"/>
    <w:rsid w:val="00FF20E9"/>
    <w:rsid w:val="01184357"/>
    <w:rsid w:val="01A131C3"/>
    <w:rsid w:val="01FB18B7"/>
    <w:rsid w:val="024B3ED5"/>
    <w:rsid w:val="028F4E34"/>
    <w:rsid w:val="032C2CC0"/>
    <w:rsid w:val="050161E5"/>
    <w:rsid w:val="05545442"/>
    <w:rsid w:val="056915AB"/>
    <w:rsid w:val="057B705B"/>
    <w:rsid w:val="06447858"/>
    <w:rsid w:val="07555753"/>
    <w:rsid w:val="09837BF5"/>
    <w:rsid w:val="0D5E33E4"/>
    <w:rsid w:val="0E271136"/>
    <w:rsid w:val="0EE52393"/>
    <w:rsid w:val="101739F6"/>
    <w:rsid w:val="10E96DCA"/>
    <w:rsid w:val="11A97B1A"/>
    <w:rsid w:val="12EE04EB"/>
    <w:rsid w:val="142E2B41"/>
    <w:rsid w:val="146050F4"/>
    <w:rsid w:val="15097FDB"/>
    <w:rsid w:val="150E1C7B"/>
    <w:rsid w:val="15861A43"/>
    <w:rsid w:val="15F1076B"/>
    <w:rsid w:val="17B822C4"/>
    <w:rsid w:val="181C089E"/>
    <w:rsid w:val="188E1215"/>
    <w:rsid w:val="18B11774"/>
    <w:rsid w:val="1A9221AF"/>
    <w:rsid w:val="1BDD60C2"/>
    <w:rsid w:val="1C0559C8"/>
    <w:rsid w:val="1DCA3D55"/>
    <w:rsid w:val="1E3265FA"/>
    <w:rsid w:val="1FE932D4"/>
    <w:rsid w:val="1FF041AE"/>
    <w:rsid w:val="1FFE717E"/>
    <w:rsid w:val="20055C73"/>
    <w:rsid w:val="20076CF3"/>
    <w:rsid w:val="201C0001"/>
    <w:rsid w:val="20A372F0"/>
    <w:rsid w:val="213E16CC"/>
    <w:rsid w:val="216F55CD"/>
    <w:rsid w:val="21CE6CB6"/>
    <w:rsid w:val="21F07040"/>
    <w:rsid w:val="21F91F85"/>
    <w:rsid w:val="22902033"/>
    <w:rsid w:val="22F14622"/>
    <w:rsid w:val="232B2612"/>
    <w:rsid w:val="23997488"/>
    <w:rsid w:val="24744770"/>
    <w:rsid w:val="248D2E59"/>
    <w:rsid w:val="249267E9"/>
    <w:rsid w:val="24FD1D8D"/>
    <w:rsid w:val="27B619BA"/>
    <w:rsid w:val="2A29653A"/>
    <w:rsid w:val="2A77438F"/>
    <w:rsid w:val="2A9653EA"/>
    <w:rsid w:val="2B3505C9"/>
    <w:rsid w:val="2B7251A1"/>
    <w:rsid w:val="2C513B81"/>
    <w:rsid w:val="2D0F3610"/>
    <w:rsid w:val="2DAF6AA4"/>
    <w:rsid w:val="2E447434"/>
    <w:rsid w:val="2E637258"/>
    <w:rsid w:val="2F7470F0"/>
    <w:rsid w:val="308630DB"/>
    <w:rsid w:val="310877D6"/>
    <w:rsid w:val="31996818"/>
    <w:rsid w:val="322F25BC"/>
    <w:rsid w:val="3282567F"/>
    <w:rsid w:val="337C71E2"/>
    <w:rsid w:val="33D648D0"/>
    <w:rsid w:val="33ED6206"/>
    <w:rsid w:val="34335D23"/>
    <w:rsid w:val="345E6417"/>
    <w:rsid w:val="348A3282"/>
    <w:rsid w:val="35A11512"/>
    <w:rsid w:val="35D82F96"/>
    <w:rsid w:val="373778B4"/>
    <w:rsid w:val="379D2C7F"/>
    <w:rsid w:val="37A458DA"/>
    <w:rsid w:val="384E752E"/>
    <w:rsid w:val="39135CA7"/>
    <w:rsid w:val="394C6EB2"/>
    <w:rsid w:val="39F24F0D"/>
    <w:rsid w:val="3AE96DA9"/>
    <w:rsid w:val="3BFA02F7"/>
    <w:rsid w:val="3CC309AB"/>
    <w:rsid w:val="3CEE6887"/>
    <w:rsid w:val="3E697EF8"/>
    <w:rsid w:val="3E780D76"/>
    <w:rsid w:val="40F85902"/>
    <w:rsid w:val="41630D72"/>
    <w:rsid w:val="429675A5"/>
    <w:rsid w:val="42AA28AA"/>
    <w:rsid w:val="43F37E46"/>
    <w:rsid w:val="44123AED"/>
    <w:rsid w:val="45000F8C"/>
    <w:rsid w:val="46841DDC"/>
    <w:rsid w:val="47DD19DA"/>
    <w:rsid w:val="48CD242C"/>
    <w:rsid w:val="496B0759"/>
    <w:rsid w:val="4A6B0188"/>
    <w:rsid w:val="4ABB1D38"/>
    <w:rsid w:val="4B6D3BB7"/>
    <w:rsid w:val="4C1D7892"/>
    <w:rsid w:val="4D5E548A"/>
    <w:rsid w:val="4D8F6A66"/>
    <w:rsid w:val="4DDF5C24"/>
    <w:rsid w:val="4EF318AC"/>
    <w:rsid w:val="4F6D1902"/>
    <w:rsid w:val="50225853"/>
    <w:rsid w:val="509727E6"/>
    <w:rsid w:val="50D864D3"/>
    <w:rsid w:val="513F2C99"/>
    <w:rsid w:val="516E4782"/>
    <w:rsid w:val="52F952BE"/>
    <w:rsid w:val="53243C8C"/>
    <w:rsid w:val="53AF4999"/>
    <w:rsid w:val="55675746"/>
    <w:rsid w:val="556E394C"/>
    <w:rsid w:val="55797C08"/>
    <w:rsid w:val="59F561A9"/>
    <w:rsid w:val="5CA046FB"/>
    <w:rsid w:val="5DAE5A52"/>
    <w:rsid w:val="5E0D0BDF"/>
    <w:rsid w:val="5F253730"/>
    <w:rsid w:val="601F0EAE"/>
    <w:rsid w:val="602E7188"/>
    <w:rsid w:val="617B4C32"/>
    <w:rsid w:val="620675AB"/>
    <w:rsid w:val="622B13D1"/>
    <w:rsid w:val="62AC7955"/>
    <w:rsid w:val="650E0CE2"/>
    <w:rsid w:val="65CD15D6"/>
    <w:rsid w:val="672F3380"/>
    <w:rsid w:val="67DBB36F"/>
    <w:rsid w:val="68F93880"/>
    <w:rsid w:val="6951565F"/>
    <w:rsid w:val="69552DD1"/>
    <w:rsid w:val="6AD071B7"/>
    <w:rsid w:val="6B113469"/>
    <w:rsid w:val="6D303931"/>
    <w:rsid w:val="6D344536"/>
    <w:rsid w:val="6E083216"/>
    <w:rsid w:val="6E8A7348"/>
    <w:rsid w:val="6E9256FE"/>
    <w:rsid w:val="6EA70D04"/>
    <w:rsid w:val="6EAB2E1E"/>
    <w:rsid w:val="6EC5277F"/>
    <w:rsid w:val="6F2B5042"/>
    <w:rsid w:val="6F800BBD"/>
    <w:rsid w:val="70D867D7"/>
    <w:rsid w:val="711A28E5"/>
    <w:rsid w:val="71482881"/>
    <w:rsid w:val="71D2493E"/>
    <w:rsid w:val="71DB227A"/>
    <w:rsid w:val="723122EE"/>
    <w:rsid w:val="728E539F"/>
    <w:rsid w:val="730C2F2A"/>
    <w:rsid w:val="739B5F35"/>
    <w:rsid w:val="74744612"/>
    <w:rsid w:val="750D40AB"/>
    <w:rsid w:val="753D30AC"/>
    <w:rsid w:val="75FC38B9"/>
    <w:rsid w:val="760F31C9"/>
    <w:rsid w:val="77854E73"/>
    <w:rsid w:val="797E31CB"/>
    <w:rsid w:val="7A9A1A11"/>
    <w:rsid w:val="7B14665D"/>
    <w:rsid w:val="7BB578CB"/>
    <w:rsid w:val="7BFF1809"/>
    <w:rsid w:val="7C3D28A5"/>
    <w:rsid w:val="7C4F2923"/>
    <w:rsid w:val="7C5B0643"/>
    <w:rsid w:val="7D8904A2"/>
    <w:rsid w:val="7E071097"/>
    <w:rsid w:val="7E463F5C"/>
    <w:rsid w:val="7E611631"/>
    <w:rsid w:val="7E6B05F1"/>
    <w:rsid w:val="7F666998"/>
    <w:rsid w:val="FFB194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annotation text"/>
    <w:basedOn w:val="1"/>
    <w:link w:val="13"/>
    <w:qFormat/>
    <w:uiPriority w:val="99"/>
    <w:pPr>
      <w:jc w:val="left"/>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Plain Text"/>
    <w:basedOn w:val="1"/>
    <w:link w:val="14"/>
    <w:qFormat/>
    <w:uiPriority w:val="0"/>
    <w:rPr>
      <w:rFonts w:ascii="宋体" w:hAnsi="Courier New"/>
      <w:szCs w:val="21"/>
    </w:rPr>
  </w:style>
  <w:style w:type="paragraph" w:styleId="5">
    <w:name w:val="Balloon Text"/>
    <w:basedOn w:val="1"/>
    <w:link w:val="15"/>
    <w:qFormat/>
    <w:uiPriority w:val="0"/>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18"/>
    <w:qFormat/>
    <w:uiPriority w:val="0"/>
    <w:rPr>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qFormat/>
    <w:uiPriority w:val="0"/>
    <w:rPr>
      <w:sz w:val="21"/>
      <w:szCs w:val="21"/>
    </w:rPr>
  </w:style>
  <w:style w:type="character" w:customStyle="1" w:styleId="13">
    <w:name w:val="批注文字 Char"/>
    <w:link w:val="2"/>
    <w:qFormat/>
    <w:uiPriority w:val="99"/>
    <w:rPr>
      <w:kern w:val="2"/>
      <w:sz w:val="21"/>
      <w:szCs w:val="22"/>
    </w:rPr>
  </w:style>
  <w:style w:type="character" w:customStyle="1" w:styleId="14">
    <w:name w:val="纯文本 Char"/>
    <w:link w:val="4"/>
    <w:qFormat/>
    <w:uiPriority w:val="0"/>
    <w:rPr>
      <w:rFonts w:ascii="宋体" w:hAnsi="Courier New" w:cs="Courier New"/>
      <w:kern w:val="2"/>
      <w:sz w:val="21"/>
      <w:szCs w:val="21"/>
    </w:rPr>
  </w:style>
  <w:style w:type="character" w:customStyle="1" w:styleId="15">
    <w:name w:val="批注框文本 Char"/>
    <w:link w:val="5"/>
    <w:qFormat/>
    <w:uiPriority w:val="0"/>
    <w:rPr>
      <w:kern w:val="2"/>
      <w:sz w:val="18"/>
      <w:szCs w:val="18"/>
    </w:rPr>
  </w:style>
  <w:style w:type="character" w:customStyle="1" w:styleId="16">
    <w:name w:val="页脚 字符"/>
    <w:basedOn w:val="11"/>
    <w:link w:val="6"/>
    <w:qFormat/>
    <w:uiPriority w:val="0"/>
    <w:rPr>
      <w:kern w:val="2"/>
      <w:sz w:val="18"/>
      <w:szCs w:val="18"/>
    </w:rPr>
  </w:style>
  <w:style w:type="character" w:customStyle="1" w:styleId="17">
    <w:name w:val="页眉 字符"/>
    <w:basedOn w:val="11"/>
    <w:link w:val="7"/>
    <w:qFormat/>
    <w:uiPriority w:val="0"/>
    <w:rPr>
      <w:kern w:val="2"/>
      <w:sz w:val="18"/>
      <w:szCs w:val="18"/>
    </w:rPr>
  </w:style>
  <w:style w:type="character" w:customStyle="1" w:styleId="18">
    <w:name w:val="批注主题 Char"/>
    <w:basedOn w:val="13"/>
    <w:link w:val="8"/>
    <w:qFormat/>
    <w:uiPriority w:val="0"/>
  </w:style>
  <w:style w:type="character" w:customStyle="1" w:styleId="19">
    <w:name w:val="fontstyle01"/>
    <w:qFormat/>
    <w:uiPriority w:val="0"/>
    <w:rPr>
      <w:rFonts w:ascii="黑体" w:hAnsi="宋体" w:eastAsia="黑体" w:cs="黑体"/>
      <w:color w:val="000000"/>
      <w:sz w:val="32"/>
      <w:szCs w:val="32"/>
    </w:rPr>
  </w:style>
  <w:style w:type="paragraph" w:customStyle="1" w:styleId="20">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1">
    <w:name w:val="列出段落1"/>
    <w:basedOn w:val="1"/>
    <w:qFormat/>
    <w:uiPriority w:val="34"/>
    <w:pPr>
      <w:ind w:firstLine="420" w:firstLineChars="200"/>
    </w:p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2480</Words>
  <Characters>3761</Characters>
  <Lines>24</Lines>
  <Paragraphs>6</Paragraphs>
  <TotalTime>9</TotalTime>
  <ScaleCrop>false</ScaleCrop>
  <LinksUpToDate>false</LinksUpToDate>
  <CharactersWithSpaces>3939</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2019-12-28T03:53:00Z</dcterms:created>
  <dc:creator>wee</dc:creator>
  <cp:lastModifiedBy>ysgz</cp:lastModifiedBy>
  <cp:lastPrinted>2020-07-17T09:31:00Z</cp:lastPrinted>
  <dcterms:modified xsi:type="dcterms:W3CDTF">2026-04-20T17:18:54Z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6FAB1C5B18144ABCB4C67A176AB328C9_13</vt:lpwstr>
  </property>
  <property fmtid="{D5CDD505-2E9C-101B-9397-08002B2CF9AE}" pid="4" name="KSOTemplateDocerSaveRecord">
    <vt:lpwstr>eyJoZGlkIjoiMDYwZjMyZWYzMmNmMzY4MzkwYmQ0NTJiMTg4YjkxMzIiLCJ1c2VySWQiOiI0MjUxMDQ1MjMifQ==</vt:lpwstr>
  </property>
</Properties>
</file>